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8BA87" w14:textId="77777777" w:rsidR="00D33852" w:rsidRDefault="00D33852" w:rsidP="00D33852">
      <w:pPr>
        <w:spacing w:after="0" w:line="276" w:lineRule="auto"/>
        <w:rPr>
          <w:rFonts w:asciiTheme="minorHAnsi" w:hAnsiTheme="minorHAnsi"/>
          <w:b/>
        </w:rPr>
      </w:pPr>
      <w:bookmarkStart w:id="0" w:name="_GoBack"/>
      <w:bookmarkEnd w:id="0"/>
      <w:r w:rsidRPr="00F3578B">
        <w:rPr>
          <w:rFonts w:asciiTheme="minorHAnsi" w:hAnsiTheme="minorHAnsi"/>
          <w:b/>
        </w:rPr>
        <w:t>The Independent Expert Scientific Committee on Coal Seam Gas and Large Coal Mining Development (IESC) is seeking comment on the draft Explanatory Note, ‘Assessing Groundwater-Dependent Ecosystems: IESC Informat</w:t>
      </w:r>
      <w:r>
        <w:rPr>
          <w:rFonts w:asciiTheme="minorHAnsi" w:hAnsiTheme="minorHAnsi"/>
          <w:b/>
        </w:rPr>
        <w:t>ion Guidelines Explanatory Note</w:t>
      </w:r>
      <w:r w:rsidRPr="00F3578B">
        <w:rPr>
          <w:rFonts w:asciiTheme="minorHAnsi" w:hAnsiTheme="minorHAnsi"/>
          <w:b/>
        </w:rPr>
        <w:t>.</w:t>
      </w:r>
      <w:r>
        <w:rPr>
          <w:rFonts w:asciiTheme="minorHAnsi" w:hAnsiTheme="minorHAnsi"/>
          <w:b/>
        </w:rPr>
        <w:t>’</w:t>
      </w:r>
    </w:p>
    <w:p w14:paraId="31C8BA88" w14:textId="77777777" w:rsidR="00D33852" w:rsidRPr="00F3578B" w:rsidRDefault="00D33852" w:rsidP="00D33852">
      <w:pPr>
        <w:spacing w:after="0" w:line="276" w:lineRule="auto"/>
        <w:rPr>
          <w:rFonts w:asciiTheme="minorHAnsi" w:hAnsiTheme="minorHAnsi"/>
          <w:b/>
        </w:rPr>
      </w:pPr>
    </w:p>
    <w:p w14:paraId="31C8BA89" w14:textId="77777777" w:rsidR="00D33852" w:rsidRDefault="00D33852" w:rsidP="00D33852">
      <w:pPr>
        <w:spacing w:after="0" w:line="276" w:lineRule="auto"/>
        <w:rPr>
          <w:rFonts w:asciiTheme="minorHAnsi" w:hAnsiTheme="minorHAnsi"/>
          <w:b/>
        </w:rPr>
      </w:pPr>
      <w:r w:rsidRPr="00F3578B">
        <w:rPr>
          <w:rFonts w:asciiTheme="minorHAnsi" w:hAnsiTheme="minorHAnsi"/>
          <w:b/>
        </w:rPr>
        <w:t>The IESC note</w:t>
      </w:r>
      <w:r>
        <w:rPr>
          <w:rFonts w:asciiTheme="minorHAnsi" w:hAnsiTheme="minorHAnsi"/>
          <w:b/>
        </w:rPr>
        <w:t>s</w:t>
      </w:r>
      <w:r w:rsidRPr="00F3578B">
        <w:rPr>
          <w:rFonts w:asciiTheme="minorHAnsi" w:hAnsiTheme="minorHAnsi"/>
          <w:b/>
        </w:rPr>
        <w:t xml:space="preserve"> the draft nature of the Explanatory Note and welcome</w:t>
      </w:r>
      <w:r>
        <w:rPr>
          <w:rFonts w:asciiTheme="minorHAnsi" w:hAnsiTheme="minorHAnsi"/>
          <w:b/>
        </w:rPr>
        <w:t>s</w:t>
      </w:r>
      <w:r w:rsidRPr="00F3578B">
        <w:rPr>
          <w:rFonts w:asciiTheme="minorHAnsi" w:hAnsiTheme="minorHAnsi"/>
          <w:b/>
        </w:rPr>
        <w:t xml:space="preserve"> feedback on the content, usability and applicability. In particular, views are sought on:</w:t>
      </w:r>
    </w:p>
    <w:p w14:paraId="31C8BA8A" w14:textId="77777777" w:rsidR="00D33852" w:rsidRPr="00F3578B" w:rsidRDefault="00D33852" w:rsidP="00D33852">
      <w:pPr>
        <w:spacing w:after="0" w:line="276" w:lineRule="auto"/>
        <w:rPr>
          <w:rFonts w:asciiTheme="minorHAnsi" w:hAnsiTheme="minorHAnsi"/>
          <w:b/>
        </w:rPr>
      </w:pPr>
    </w:p>
    <w:p w14:paraId="31C8BA8B" w14:textId="77777777" w:rsidR="00D33852" w:rsidRPr="00D33852" w:rsidRDefault="00D33852" w:rsidP="00D33852">
      <w:pPr>
        <w:pStyle w:val="ListBullet"/>
        <w:spacing w:before="0" w:after="0"/>
        <w:rPr>
          <w:b/>
        </w:rPr>
      </w:pPr>
      <w:proofErr w:type="gramStart"/>
      <w:r w:rsidRPr="00D33852">
        <w:rPr>
          <w:b/>
        </w:rPr>
        <w:t>the</w:t>
      </w:r>
      <w:proofErr w:type="gramEnd"/>
      <w:r w:rsidRPr="00D33852">
        <w:rPr>
          <w:b/>
        </w:rPr>
        <w:t xml:space="preserve"> technical content within the draft Explanatory Note. Are there any areas that are missing or not captured adequately?</w:t>
      </w:r>
    </w:p>
    <w:p w14:paraId="31C8BA8C" w14:textId="77777777" w:rsidR="00D33852" w:rsidRPr="00D33852" w:rsidRDefault="00D33852" w:rsidP="00D33852">
      <w:pPr>
        <w:pStyle w:val="ListBullet"/>
        <w:spacing w:before="0" w:after="0"/>
        <w:rPr>
          <w:b/>
        </w:rPr>
      </w:pPr>
      <w:proofErr w:type="gramStart"/>
      <w:r w:rsidRPr="00D33852">
        <w:rPr>
          <w:b/>
        </w:rPr>
        <w:t>the</w:t>
      </w:r>
      <w:proofErr w:type="gramEnd"/>
      <w:r w:rsidRPr="00D33852">
        <w:rPr>
          <w:b/>
        </w:rPr>
        <w:t xml:space="preserve"> relevance to your specific area of work and any views on its uptake and adoption.</w:t>
      </w:r>
    </w:p>
    <w:p w14:paraId="31C8BA8D" w14:textId="77777777" w:rsidR="00D33852" w:rsidRDefault="00D33852" w:rsidP="00D33852">
      <w:pPr>
        <w:pStyle w:val="ListBullet"/>
        <w:spacing w:before="0" w:after="0"/>
        <w:rPr>
          <w:b/>
        </w:rPr>
      </w:pPr>
      <w:proofErr w:type="gramStart"/>
      <w:r w:rsidRPr="00D33852">
        <w:rPr>
          <w:b/>
        </w:rPr>
        <w:t>potential</w:t>
      </w:r>
      <w:proofErr w:type="gramEnd"/>
      <w:r w:rsidRPr="00D33852">
        <w:rPr>
          <w:b/>
        </w:rPr>
        <w:t xml:space="preserve"> options to increase uptake and adoption.</w:t>
      </w:r>
    </w:p>
    <w:p w14:paraId="31C8BA8E" w14:textId="77777777" w:rsidR="00D33852" w:rsidRPr="00D33852" w:rsidRDefault="00D33852" w:rsidP="00D33852">
      <w:pPr>
        <w:pStyle w:val="BodyText"/>
        <w:spacing w:before="0" w:after="0"/>
      </w:pPr>
    </w:p>
    <w:p w14:paraId="31C8BA8F" w14:textId="77777777" w:rsidR="00D33852" w:rsidRPr="00F3578B" w:rsidRDefault="00D33852" w:rsidP="00D33852">
      <w:pPr>
        <w:spacing w:after="0" w:line="276" w:lineRule="auto"/>
        <w:rPr>
          <w:rFonts w:asciiTheme="minorHAnsi" w:hAnsiTheme="minorHAnsi"/>
          <w:b/>
          <w:i/>
        </w:rPr>
      </w:pPr>
      <w:r w:rsidRPr="00F3578B">
        <w:rPr>
          <w:rFonts w:asciiTheme="minorHAnsi" w:hAnsiTheme="minorHAnsi"/>
          <w:b/>
          <w:i/>
        </w:rPr>
        <w:t>The IESC and the Information Guidelines</w:t>
      </w:r>
    </w:p>
    <w:p w14:paraId="31C8BA90" w14:textId="77777777" w:rsidR="00D33852" w:rsidRDefault="00D33852" w:rsidP="00D33852">
      <w:pPr>
        <w:spacing w:after="0" w:line="276" w:lineRule="auto"/>
        <w:rPr>
          <w:rFonts w:asciiTheme="minorHAnsi" w:hAnsiTheme="minorHAnsi"/>
        </w:rPr>
      </w:pPr>
      <w:r w:rsidRPr="00F3578B">
        <w:rPr>
          <w:rFonts w:asciiTheme="minorHAnsi" w:hAnsiTheme="minorHAnsi"/>
        </w:rPr>
        <w:t xml:space="preserve">The IESC is a statutory body under the </w:t>
      </w:r>
      <w:r w:rsidRPr="00F3578B">
        <w:rPr>
          <w:rFonts w:asciiTheme="minorHAnsi" w:hAnsiTheme="minorHAnsi"/>
          <w:i/>
        </w:rPr>
        <w:t xml:space="preserve">Environment Protection and Biodiversity Conservation Act 1999 </w:t>
      </w:r>
      <w:r w:rsidRPr="00F3578B">
        <w:rPr>
          <w:rFonts w:asciiTheme="minorHAnsi" w:hAnsiTheme="minorHAnsi"/>
        </w:rPr>
        <w:t>(</w:t>
      </w:r>
      <w:proofErr w:type="spellStart"/>
      <w:r w:rsidRPr="00F3578B">
        <w:rPr>
          <w:rFonts w:asciiTheme="minorHAnsi" w:hAnsiTheme="minorHAnsi"/>
        </w:rPr>
        <w:t>Cth</w:t>
      </w:r>
      <w:proofErr w:type="spellEnd"/>
      <w:r w:rsidRPr="00F3578B">
        <w:rPr>
          <w:rFonts w:asciiTheme="minorHAnsi" w:hAnsiTheme="minorHAnsi"/>
        </w:rPr>
        <w:t>) (EPBC Act). One of the IESC’s key legislative functions is to provide scientific advice to the Commonwealth Environment Minister and relevant state ministers in relation to coal seam gas (CSG) and large coal mining development proposals that are likely to have a significant impact on water resources.</w:t>
      </w:r>
    </w:p>
    <w:p w14:paraId="31C8BA91" w14:textId="77777777" w:rsidR="00D33852" w:rsidRPr="00F3578B" w:rsidRDefault="00D33852" w:rsidP="00D33852">
      <w:pPr>
        <w:spacing w:after="0" w:line="276" w:lineRule="auto"/>
        <w:rPr>
          <w:rFonts w:asciiTheme="minorHAnsi" w:hAnsiTheme="minorHAnsi"/>
        </w:rPr>
      </w:pPr>
    </w:p>
    <w:p w14:paraId="31C8BA92" w14:textId="77777777" w:rsidR="00D33852" w:rsidRDefault="00D33852" w:rsidP="00D33852">
      <w:pPr>
        <w:spacing w:after="0" w:line="276" w:lineRule="auto"/>
        <w:rPr>
          <w:rFonts w:asciiTheme="minorHAnsi" w:hAnsiTheme="minorHAnsi"/>
        </w:rPr>
      </w:pPr>
      <w:r w:rsidRPr="00F3578B">
        <w:rPr>
          <w:rFonts w:asciiTheme="minorHAnsi" w:hAnsiTheme="minorHAnsi"/>
        </w:rPr>
        <w:t>The Information Guidelines outline the information project proponents should provide to enable the IESC to provide robust scientific advice on potential water-related impacts of CSG and large coal mining development proposals. The Explanatory Note supports the Information Guidelines by providing further information and guidance on undertaking comprehensive assessment and management of impacts to groundwater dependent ecosystems (GDEs).</w:t>
      </w:r>
    </w:p>
    <w:p w14:paraId="31C8BA93" w14:textId="77777777" w:rsidR="00D33852" w:rsidRPr="00F3578B" w:rsidRDefault="00D33852" w:rsidP="00D33852">
      <w:pPr>
        <w:spacing w:after="0" w:line="276" w:lineRule="auto"/>
        <w:rPr>
          <w:rFonts w:asciiTheme="minorHAnsi" w:hAnsiTheme="minorHAnsi"/>
        </w:rPr>
      </w:pPr>
    </w:p>
    <w:p w14:paraId="31C8BA94" w14:textId="77777777" w:rsidR="00D33852" w:rsidRPr="00F3578B" w:rsidRDefault="00D33852" w:rsidP="00D33852">
      <w:pPr>
        <w:spacing w:after="0" w:line="276" w:lineRule="auto"/>
        <w:rPr>
          <w:rFonts w:asciiTheme="minorHAnsi" w:hAnsiTheme="minorHAnsi"/>
          <w:b/>
          <w:i/>
        </w:rPr>
      </w:pPr>
      <w:r w:rsidRPr="00F3578B">
        <w:rPr>
          <w:rFonts w:asciiTheme="minorHAnsi" w:hAnsiTheme="minorHAnsi"/>
          <w:b/>
          <w:i/>
        </w:rPr>
        <w:t xml:space="preserve">The Explanatory Note, </w:t>
      </w:r>
      <w:r>
        <w:rPr>
          <w:rFonts w:asciiTheme="minorHAnsi" w:hAnsiTheme="minorHAnsi"/>
          <w:b/>
          <w:i/>
        </w:rPr>
        <w:t>‘</w:t>
      </w:r>
      <w:r w:rsidRPr="00F3578B">
        <w:rPr>
          <w:rFonts w:asciiTheme="minorHAnsi" w:hAnsiTheme="minorHAnsi"/>
          <w:b/>
        </w:rPr>
        <w:t>Assessing Groundwater-Dependent Ecosystems: IESC Informat</w:t>
      </w:r>
      <w:r>
        <w:rPr>
          <w:rFonts w:asciiTheme="minorHAnsi" w:hAnsiTheme="minorHAnsi"/>
          <w:b/>
        </w:rPr>
        <w:t>ion Guidelines Explanatory Note</w:t>
      </w:r>
      <w:r w:rsidRPr="00F3578B">
        <w:rPr>
          <w:rFonts w:asciiTheme="minorHAnsi" w:hAnsiTheme="minorHAnsi"/>
          <w:b/>
        </w:rPr>
        <w:t>.</w:t>
      </w:r>
      <w:r w:rsidRPr="00F3578B">
        <w:rPr>
          <w:rFonts w:asciiTheme="minorHAnsi" w:hAnsiTheme="minorHAnsi"/>
          <w:b/>
          <w:i/>
        </w:rPr>
        <w:t>’</w:t>
      </w:r>
    </w:p>
    <w:p w14:paraId="31C8BA95" w14:textId="77777777" w:rsidR="00D33852" w:rsidRDefault="00D33852" w:rsidP="00D33852">
      <w:pPr>
        <w:spacing w:after="0" w:line="276" w:lineRule="auto"/>
        <w:rPr>
          <w:rFonts w:asciiTheme="minorHAnsi" w:hAnsiTheme="minorHAnsi"/>
        </w:rPr>
      </w:pPr>
      <w:r w:rsidRPr="00F3578B">
        <w:rPr>
          <w:rFonts w:asciiTheme="minorHAnsi" w:hAnsiTheme="minorHAnsi"/>
        </w:rPr>
        <w:t xml:space="preserve">The EPBC Act lists “a water resource, in relation to coal seam gas development and large coal mining </w:t>
      </w:r>
      <w:proofErr w:type="gramStart"/>
      <w:r w:rsidRPr="00F3578B">
        <w:rPr>
          <w:rFonts w:asciiTheme="minorHAnsi" w:hAnsiTheme="minorHAnsi"/>
        </w:rPr>
        <w:t>development</w:t>
      </w:r>
      <w:proofErr w:type="gramEnd"/>
      <w:r w:rsidRPr="00F3578B">
        <w:rPr>
          <w:rFonts w:asciiTheme="minorHAnsi" w:hAnsiTheme="minorHAnsi"/>
        </w:rPr>
        <w:t xml:space="preserve">” as a matter of national environmental significance. A water resource is defined under the </w:t>
      </w:r>
      <w:r w:rsidRPr="00F3578B">
        <w:rPr>
          <w:rFonts w:asciiTheme="minorHAnsi" w:hAnsiTheme="minorHAnsi"/>
          <w:i/>
        </w:rPr>
        <w:t>Water Act 2007</w:t>
      </w:r>
      <w:r w:rsidRPr="00F3578B">
        <w:rPr>
          <w:rFonts w:asciiTheme="minorHAnsi" w:hAnsiTheme="minorHAnsi"/>
        </w:rPr>
        <w:t xml:space="preserve"> (</w:t>
      </w:r>
      <w:proofErr w:type="spellStart"/>
      <w:r w:rsidRPr="00F3578B">
        <w:rPr>
          <w:rFonts w:asciiTheme="minorHAnsi" w:hAnsiTheme="minorHAnsi"/>
        </w:rPr>
        <w:t>Cth</w:t>
      </w:r>
      <w:proofErr w:type="spellEnd"/>
      <w:r w:rsidRPr="00F3578B">
        <w:rPr>
          <w:rFonts w:asciiTheme="minorHAnsi" w:hAnsiTheme="minorHAnsi"/>
        </w:rPr>
        <w:t>) and incorporates ecosystems that contribute to the physical state and environmental value of the water resource. As such</w:t>
      </w:r>
      <w:r>
        <w:rPr>
          <w:rFonts w:asciiTheme="minorHAnsi" w:hAnsiTheme="minorHAnsi"/>
        </w:rPr>
        <w:t>,</w:t>
      </w:r>
      <w:r w:rsidRPr="00F3578B">
        <w:rPr>
          <w:rFonts w:asciiTheme="minorHAnsi" w:hAnsiTheme="minorHAnsi"/>
        </w:rPr>
        <w:t xml:space="preserve"> environmental assessments for proposed CSG and large coal mining developments are required to identify potential GDEs and assess and manage potential impacts to GDEs from a proposed development.</w:t>
      </w:r>
    </w:p>
    <w:p w14:paraId="31C8BA96" w14:textId="77777777" w:rsidR="00D33852" w:rsidRPr="00F3578B" w:rsidRDefault="00D33852" w:rsidP="00D33852">
      <w:pPr>
        <w:spacing w:after="0" w:line="276" w:lineRule="auto"/>
        <w:rPr>
          <w:rFonts w:asciiTheme="minorHAnsi" w:hAnsiTheme="minorHAnsi"/>
        </w:rPr>
      </w:pPr>
    </w:p>
    <w:p w14:paraId="31C8BA97" w14:textId="77777777" w:rsidR="00D33852" w:rsidRDefault="00D33852" w:rsidP="00D33852">
      <w:pPr>
        <w:spacing w:after="0" w:line="276" w:lineRule="auto"/>
        <w:rPr>
          <w:rFonts w:asciiTheme="minorHAnsi" w:eastAsiaTheme="minorHAnsi" w:hAnsiTheme="minorHAnsi" w:cstheme="minorBidi"/>
          <w:lang w:eastAsia="en-US"/>
        </w:rPr>
      </w:pPr>
      <w:r w:rsidRPr="00F3578B">
        <w:rPr>
          <w:rFonts w:asciiTheme="minorHAnsi" w:hAnsiTheme="minorHAnsi"/>
        </w:rPr>
        <w:t>The draft Explanatory Note is intended to assist proponents in preparing environmental assessments for projects potentially impacting GDE</w:t>
      </w:r>
      <w:r>
        <w:rPr>
          <w:rFonts w:asciiTheme="minorHAnsi" w:hAnsiTheme="minorHAnsi"/>
        </w:rPr>
        <w:t>s. The Explanatory Note compiles</w:t>
      </w:r>
      <w:r w:rsidRPr="00F3578B">
        <w:rPr>
          <w:rFonts w:asciiTheme="minorHAnsi" w:hAnsiTheme="minorHAnsi"/>
        </w:rPr>
        <w:t xml:space="preserve"> information, and provides guidance, on the use of a diverse range of tools and methodologies currently available for identifying potential GDEs</w:t>
      </w:r>
      <w:r>
        <w:rPr>
          <w:rFonts w:asciiTheme="minorHAnsi" w:hAnsiTheme="minorHAnsi"/>
        </w:rPr>
        <w:t xml:space="preserve"> and their condition</w:t>
      </w:r>
      <w:r w:rsidRPr="00F3578B">
        <w:rPr>
          <w:rFonts w:asciiTheme="minorHAnsi" w:hAnsiTheme="minorHAnsi"/>
        </w:rPr>
        <w:t xml:space="preserve">, characterising groundwater reliance of GDEs, </w:t>
      </w:r>
      <w:r>
        <w:rPr>
          <w:rFonts w:asciiTheme="minorHAnsi" w:hAnsiTheme="minorHAnsi"/>
        </w:rPr>
        <w:t>risk assessment</w:t>
      </w:r>
      <w:r w:rsidRPr="00F3578B">
        <w:rPr>
          <w:rFonts w:asciiTheme="minorHAnsi" w:hAnsiTheme="minorHAnsi"/>
        </w:rPr>
        <w:t xml:space="preserve"> and assessing potential </w:t>
      </w:r>
      <w:r w:rsidRPr="00F3578B">
        <w:rPr>
          <w:rFonts w:asciiTheme="minorHAnsi" w:hAnsiTheme="minorHAnsi"/>
        </w:rPr>
        <w:lastRenderedPageBreak/>
        <w:t>impacts. The Explanatory Note also explores avoidance, mitigation, monitoring and management options</w:t>
      </w:r>
      <w:r>
        <w:rPr>
          <w:rFonts w:asciiTheme="minorHAnsi" w:hAnsiTheme="minorHAnsi"/>
        </w:rPr>
        <w:t>,</w:t>
      </w:r>
      <w:r w:rsidRPr="00F3578B">
        <w:rPr>
          <w:rFonts w:asciiTheme="minorHAnsi" w:hAnsiTheme="minorHAnsi"/>
        </w:rPr>
        <w:t xml:space="preserve"> providing practical examples of their application in a range of environments.</w:t>
      </w:r>
    </w:p>
    <w:p w14:paraId="31C8BA98" w14:textId="77777777" w:rsidR="00D33852" w:rsidRPr="00D33852" w:rsidRDefault="00D33852" w:rsidP="00D33852">
      <w:pPr>
        <w:rPr>
          <w:rFonts w:asciiTheme="minorHAnsi" w:eastAsiaTheme="minorHAnsi" w:hAnsiTheme="minorHAnsi" w:cstheme="minorBidi"/>
          <w:lang w:eastAsia="en-US"/>
        </w:rPr>
      </w:pPr>
    </w:p>
    <w:p w14:paraId="31C8BA99" w14:textId="77777777" w:rsidR="00D33852" w:rsidRPr="00D33852" w:rsidRDefault="00D33852" w:rsidP="00D33852">
      <w:pPr>
        <w:rPr>
          <w:rFonts w:asciiTheme="minorHAnsi" w:eastAsiaTheme="minorHAnsi" w:hAnsiTheme="minorHAnsi" w:cstheme="minorBidi"/>
          <w:lang w:eastAsia="en-US"/>
        </w:rPr>
      </w:pPr>
    </w:p>
    <w:p w14:paraId="31C8BA9A" w14:textId="77777777" w:rsidR="00D33852" w:rsidRPr="00D33852" w:rsidRDefault="00D33852" w:rsidP="00D33852">
      <w:pPr>
        <w:rPr>
          <w:rFonts w:asciiTheme="minorHAnsi" w:eastAsiaTheme="minorHAnsi" w:hAnsiTheme="minorHAnsi" w:cstheme="minorBidi"/>
          <w:lang w:eastAsia="en-US"/>
        </w:rPr>
      </w:pPr>
    </w:p>
    <w:p w14:paraId="31C8BA9B" w14:textId="77777777" w:rsidR="00D33852" w:rsidRPr="00D33852" w:rsidRDefault="00D33852" w:rsidP="00D33852">
      <w:pPr>
        <w:rPr>
          <w:rFonts w:asciiTheme="minorHAnsi" w:eastAsiaTheme="minorHAnsi" w:hAnsiTheme="minorHAnsi" w:cstheme="minorBidi"/>
          <w:lang w:eastAsia="en-US"/>
        </w:rPr>
      </w:pPr>
    </w:p>
    <w:p w14:paraId="31C8BA9C" w14:textId="77777777" w:rsidR="00D33852" w:rsidRPr="00D33852" w:rsidRDefault="00D33852" w:rsidP="00D33852">
      <w:pPr>
        <w:rPr>
          <w:rFonts w:asciiTheme="minorHAnsi" w:eastAsiaTheme="minorHAnsi" w:hAnsiTheme="minorHAnsi" w:cstheme="minorBidi"/>
          <w:lang w:eastAsia="en-US"/>
        </w:rPr>
      </w:pPr>
    </w:p>
    <w:p w14:paraId="31C8BA9D" w14:textId="77777777" w:rsidR="00D33852" w:rsidRPr="00D33852" w:rsidRDefault="00D33852" w:rsidP="00D33852">
      <w:pPr>
        <w:rPr>
          <w:rFonts w:asciiTheme="minorHAnsi" w:eastAsiaTheme="minorHAnsi" w:hAnsiTheme="minorHAnsi" w:cstheme="minorBidi"/>
          <w:lang w:eastAsia="en-US"/>
        </w:rPr>
      </w:pPr>
    </w:p>
    <w:p w14:paraId="31C8BA9E" w14:textId="77777777" w:rsidR="00D33852" w:rsidRPr="00D33852" w:rsidRDefault="00D33852" w:rsidP="00D33852">
      <w:pPr>
        <w:rPr>
          <w:rFonts w:asciiTheme="minorHAnsi" w:eastAsiaTheme="minorHAnsi" w:hAnsiTheme="minorHAnsi" w:cstheme="minorBidi"/>
          <w:lang w:eastAsia="en-US"/>
        </w:rPr>
      </w:pPr>
    </w:p>
    <w:p w14:paraId="31C8BA9F" w14:textId="77777777" w:rsidR="00D33852" w:rsidRPr="00D33852" w:rsidRDefault="00D33852" w:rsidP="00D33852">
      <w:pPr>
        <w:rPr>
          <w:rFonts w:asciiTheme="minorHAnsi" w:eastAsiaTheme="minorHAnsi" w:hAnsiTheme="minorHAnsi" w:cstheme="minorBidi"/>
          <w:lang w:eastAsia="en-US"/>
        </w:rPr>
      </w:pPr>
    </w:p>
    <w:p w14:paraId="31C8BAA0" w14:textId="77777777" w:rsidR="00D33852" w:rsidRPr="00D33852" w:rsidRDefault="00D33852" w:rsidP="00D33852">
      <w:pPr>
        <w:rPr>
          <w:rFonts w:asciiTheme="minorHAnsi" w:eastAsiaTheme="minorHAnsi" w:hAnsiTheme="minorHAnsi" w:cstheme="minorBidi"/>
          <w:lang w:eastAsia="en-US"/>
        </w:rPr>
      </w:pPr>
    </w:p>
    <w:p w14:paraId="31C8BAA1" w14:textId="77777777" w:rsidR="00D33852" w:rsidRPr="00D33852" w:rsidRDefault="00D33852" w:rsidP="00D33852">
      <w:pPr>
        <w:rPr>
          <w:rFonts w:asciiTheme="minorHAnsi" w:eastAsiaTheme="minorHAnsi" w:hAnsiTheme="minorHAnsi" w:cstheme="minorBidi"/>
          <w:lang w:eastAsia="en-US"/>
        </w:rPr>
      </w:pPr>
    </w:p>
    <w:p w14:paraId="31C8BAA2" w14:textId="77777777" w:rsidR="00D33852" w:rsidRPr="00D33852" w:rsidRDefault="00D33852" w:rsidP="00D33852">
      <w:pPr>
        <w:rPr>
          <w:rFonts w:asciiTheme="minorHAnsi" w:eastAsiaTheme="minorHAnsi" w:hAnsiTheme="minorHAnsi" w:cstheme="minorBidi"/>
          <w:lang w:eastAsia="en-US"/>
        </w:rPr>
      </w:pPr>
    </w:p>
    <w:p w14:paraId="31C8BAA3" w14:textId="77777777" w:rsidR="00D33852" w:rsidRPr="00D33852" w:rsidRDefault="00D33852" w:rsidP="00D33852">
      <w:pPr>
        <w:rPr>
          <w:rFonts w:asciiTheme="minorHAnsi" w:eastAsiaTheme="minorHAnsi" w:hAnsiTheme="minorHAnsi" w:cstheme="minorBidi"/>
          <w:lang w:eastAsia="en-US"/>
        </w:rPr>
      </w:pPr>
    </w:p>
    <w:p w14:paraId="31C8BAA4" w14:textId="77777777" w:rsidR="00D33852" w:rsidRPr="00D33852" w:rsidRDefault="00D33852" w:rsidP="00D33852">
      <w:pPr>
        <w:rPr>
          <w:rFonts w:asciiTheme="minorHAnsi" w:eastAsiaTheme="minorHAnsi" w:hAnsiTheme="minorHAnsi" w:cstheme="minorBidi"/>
          <w:lang w:eastAsia="en-US"/>
        </w:rPr>
      </w:pPr>
    </w:p>
    <w:p w14:paraId="31C8BAA5" w14:textId="77777777" w:rsidR="00D33852" w:rsidRPr="00D33852" w:rsidRDefault="00D33852" w:rsidP="00D33852">
      <w:pPr>
        <w:rPr>
          <w:rFonts w:asciiTheme="minorHAnsi" w:eastAsiaTheme="minorHAnsi" w:hAnsiTheme="minorHAnsi" w:cstheme="minorBidi"/>
          <w:lang w:eastAsia="en-US"/>
        </w:rPr>
      </w:pPr>
    </w:p>
    <w:p w14:paraId="31C8BAA6" w14:textId="77777777" w:rsidR="00D33852" w:rsidRPr="00D33852" w:rsidRDefault="00D33852" w:rsidP="00D33852">
      <w:pPr>
        <w:rPr>
          <w:rFonts w:asciiTheme="minorHAnsi" w:eastAsiaTheme="minorHAnsi" w:hAnsiTheme="minorHAnsi" w:cstheme="minorBidi"/>
          <w:lang w:eastAsia="en-US"/>
        </w:rPr>
      </w:pPr>
    </w:p>
    <w:p w14:paraId="31C8BAA7" w14:textId="77777777" w:rsidR="00D33852" w:rsidRPr="00D33852" w:rsidRDefault="00D33852" w:rsidP="00D33852">
      <w:pPr>
        <w:rPr>
          <w:rFonts w:asciiTheme="minorHAnsi" w:eastAsiaTheme="minorHAnsi" w:hAnsiTheme="minorHAnsi" w:cstheme="minorBidi"/>
          <w:lang w:eastAsia="en-US"/>
        </w:rPr>
      </w:pPr>
    </w:p>
    <w:p w14:paraId="31C8BAA8" w14:textId="77777777" w:rsidR="00D33852" w:rsidRDefault="00D33852" w:rsidP="00D33852">
      <w:pPr>
        <w:rPr>
          <w:rFonts w:asciiTheme="minorHAnsi" w:eastAsiaTheme="minorHAnsi" w:hAnsiTheme="minorHAnsi" w:cstheme="minorBidi"/>
          <w:lang w:eastAsia="en-US"/>
        </w:rPr>
      </w:pPr>
    </w:p>
    <w:p w14:paraId="31C8BAA9" w14:textId="77777777" w:rsidR="00D33852" w:rsidRDefault="00D33852" w:rsidP="00D33852">
      <w:pPr>
        <w:rPr>
          <w:rFonts w:asciiTheme="minorHAnsi" w:eastAsiaTheme="minorHAnsi" w:hAnsiTheme="minorHAnsi" w:cstheme="minorBidi"/>
          <w:lang w:eastAsia="en-US"/>
        </w:rPr>
      </w:pPr>
    </w:p>
    <w:p w14:paraId="31C8BAAA" w14:textId="77777777" w:rsidR="00D33852" w:rsidRPr="00D33852" w:rsidRDefault="00D33852" w:rsidP="00D33852">
      <w:pPr>
        <w:tabs>
          <w:tab w:val="center" w:pos="4795"/>
        </w:tabs>
        <w:rPr>
          <w:rFonts w:asciiTheme="minorHAnsi" w:eastAsiaTheme="minorHAnsi" w:hAnsiTheme="minorHAnsi" w:cstheme="minorBidi"/>
          <w:lang w:eastAsia="en-US"/>
        </w:rPr>
        <w:sectPr w:rsidR="00D33852" w:rsidRPr="00D33852" w:rsidSect="00D33852">
          <w:headerReference w:type="even" r:id="rId7"/>
          <w:headerReference w:type="default" r:id="rId8"/>
          <w:footerReference w:type="default" r:id="rId9"/>
          <w:headerReference w:type="first" r:id="rId10"/>
          <w:footerReference w:type="first" r:id="rId11"/>
          <w:type w:val="evenPage"/>
          <w:pgSz w:w="11910" w:h="16840"/>
          <w:pgMar w:top="851" w:right="1021" w:bottom="851" w:left="1298" w:header="743" w:footer="170" w:gutter="0"/>
          <w:pgNumType w:start="1"/>
          <w:cols w:space="720"/>
          <w:noEndnote/>
          <w:titlePg/>
          <w:docGrid w:linePitch="326"/>
        </w:sectPr>
      </w:pPr>
    </w:p>
    <w:p w14:paraId="31C8BAAB" w14:textId="77777777" w:rsidR="00D33852" w:rsidRDefault="00D33852" w:rsidP="00F85AB4">
      <w:pPr>
        <w:pStyle w:val="Heading1noTOC"/>
        <w:sectPr w:rsidR="00D33852" w:rsidSect="00AE77A4">
          <w:headerReference w:type="even" r:id="rId12"/>
          <w:headerReference w:type="default" r:id="rId13"/>
          <w:footerReference w:type="even" r:id="rId14"/>
          <w:footerReference w:type="default" r:id="rId15"/>
          <w:headerReference w:type="first" r:id="rId16"/>
          <w:type w:val="evenPage"/>
          <w:pgSz w:w="11906" w:h="16838" w:code="9"/>
          <w:pgMar w:top="720" w:right="720" w:bottom="720" w:left="720" w:header="510" w:footer="624" w:gutter="0"/>
          <w:cols w:space="850"/>
          <w:docGrid w:linePitch="360"/>
        </w:sectPr>
      </w:pPr>
      <w:r w:rsidRPr="007A3B92">
        <w:rPr>
          <w:rFonts w:ascii="Cambria" w:eastAsia="MS Mincho" w:hAnsi="Cambria" w:cs="Times New Roman"/>
          <w:noProof/>
        </w:rPr>
        <w:lastRenderedPageBreak/>
        <mc:AlternateContent>
          <mc:Choice Requires="wps">
            <w:drawing>
              <wp:anchor distT="0" distB="0" distL="114300" distR="114300" simplePos="0" relativeHeight="251909632" behindDoc="0" locked="0" layoutInCell="1" allowOverlap="1" wp14:anchorId="31C8C2C4" wp14:editId="31C8C2C5">
                <wp:simplePos x="0" y="0"/>
                <wp:positionH relativeFrom="column">
                  <wp:posOffset>2476500</wp:posOffset>
                </wp:positionH>
                <wp:positionV relativeFrom="paragraph">
                  <wp:posOffset>2990215</wp:posOffset>
                </wp:positionV>
                <wp:extent cx="3886200" cy="4800600"/>
                <wp:effectExtent l="0" t="0" r="0" b="0"/>
                <wp:wrapSquare wrapText="bothSides"/>
                <wp:docPr id="18462" name="Text Box 18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4800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31C8C34A" w14:textId="77777777" w:rsidR="00526CA7" w:rsidRDefault="00526CA7" w:rsidP="00D33852">
                            <w:pPr>
                              <w:pStyle w:val="Head1Headings"/>
                              <w:pBdr>
                                <w:top w:val="single" w:sz="4" w:space="9" w:color="auto"/>
                                <w:bottom w:val="single" w:sz="4" w:space="4" w:color="auto"/>
                              </w:pBdr>
                              <w:rPr>
                                <w:color w:val="auto"/>
                              </w:rPr>
                            </w:pPr>
                            <w:r>
                              <w:rPr>
                                <w:color w:val="auto"/>
                              </w:rPr>
                              <w:t>Assessing Groundwater-Dependent Ecosystems: IESC Information Guidelines Explanatory Note</w:t>
                            </w:r>
                          </w:p>
                          <w:p w14:paraId="31C8C34B" w14:textId="77777777" w:rsidR="00526CA7" w:rsidRPr="003C31AE" w:rsidRDefault="00526CA7" w:rsidP="00D33852">
                            <w:pPr>
                              <w:pStyle w:val="Head1Headings"/>
                              <w:pBdr>
                                <w:top w:val="single" w:sz="4" w:space="9" w:color="auto"/>
                                <w:bottom w:val="single" w:sz="4" w:space="4" w:color="auto"/>
                              </w:pBdr>
                              <w:rPr>
                                <w:color w:val="auto"/>
                              </w:rPr>
                            </w:pPr>
                          </w:p>
                          <w:p w14:paraId="31C8C34C" w14:textId="77777777" w:rsidR="00526CA7" w:rsidRDefault="00526CA7" w:rsidP="00D33852"/>
                          <w:p w14:paraId="31C8C34D" w14:textId="77777777" w:rsidR="00526CA7" w:rsidRDefault="00526CA7" w:rsidP="00D33852"/>
                          <w:p w14:paraId="31C8C34E" w14:textId="77777777" w:rsidR="00526CA7" w:rsidRDefault="00526CA7" w:rsidP="00D33852"/>
                          <w:p w14:paraId="31C8C34F" w14:textId="77777777" w:rsidR="00526CA7" w:rsidRDefault="00526CA7" w:rsidP="00D33852"/>
                          <w:p w14:paraId="31C8C350" w14:textId="77777777" w:rsidR="00526CA7" w:rsidRDefault="00526CA7" w:rsidP="00D33852"/>
                          <w:p w14:paraId="31C8C351" w14:textId="77777777" w:rsidR="00526CA7" w:rsidRDefault="00526CA7" w:rsidP="00D33852"/>
                          <w:p w14:paraId="31C8C352" w14:textId="77777777" w:rsidR="00526CA7" w:rsidRDefault="00526CA7" w:rsidP="00D33852"/>
                          <w:p w14:paraId="31C8C353" w14:textId="77777777" w:rsidR="00526CA7" w:rsidRPr="003C31AE" w:rsidRDefault="00526CA7" w:rsidP="00D33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8C2C4" id="_x0000_t202" coordsize="21600,21600" o:spt="202" path="m,l,21600r21600,l21600,xe">
                <v:stroke joinstyle="miter"/>
                <v:path gradientshapeok="t" o:connecttype="rect"/>
              </v:shapetype>
              <v:shape id="Text Box 18462" o:spid="_x0000_s1026" type="#_x0000_t202" style="position:absolute;margin-left:195pt;margin-top:235.45pt;width:306pt;height:378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" filled="f" stroked="f">
                <v:path arrowok="t"/>
                <v:textbox>
                  <w:txbxContent>
                    <w:p w14:paraId="31C8C34A" w14:textId="77777777" w:rsidR="00526CA7" w:rsidRDefault="00526CA7" w:rsidP="00D33852">
                      <w:pPr>
                        <w:pStyle w:val="Head1Headings"/>
                        <w:pBdr>
                          <w:top w:val="single" w:sz="4" w:space="9" w:color="auto"/>
                          <w:bottom w:val="single" w:sz="4" w:space="4" w:color="auto"/>
                        </w:pBdr>
                        <w:rPr>
                          <w:color w:val="auto"/>
                        </w:rPr>
                      </w:pPr>
                      <w:r>
                        <w:rPr>
                          <w:color w:val="auto"/>
                        </w:rPr>
                        <w:t>Assessing Groundwater-Dependent Ecosystems: IESC Information Guidelines Explanatory Note</w:t>
                      </w:r>
                    </w:p>
                    <w:p w14:paraId="31C8C34B" w14:textId="77777777" w:rsidR="00526CA7" w:rsidRPr="003C31AE" w:rsidRDefault="00526CA7" w:rsidP="00D33852">
                      <w:pPr>
                        <w:pStyle w:val="Head1Headings"/>
                        <w:pBdr>
                          <w:top w:val="single" w:sz="4" w:space="9" w:color="auto"/>
                          <w:bottom w:val="single" w:sz="4" w:space="4" w:color="auto"/>
                        </w:pBdr>
                        <w:rPr>
                          <w:color w:val="auto"/>
                        </w:rPr>
                      </w:pPr>
                    </w:p>
                    <w:p w14:paraId="31C8C34C" w14:textId="77777777" w:rsidR="00526CA7" w:rsidRDefault="00526CA7" w:rsidP="00D33852"/>
                    <w:p w14:paraId="31C8C34D" w14:textId="77777777" w:rsidR="00526CA7" w:rsidRDefault="00526CA7" w:rsidP="00D33852"/>
                    <w:p w14:paraId="31C8C34E" w14:textId="77777777" w:rsidR="00526CA7" w:rsidRDefault="00526CA7" w:rsidP="00D33852"/>
                    <w:p w14:paraId="31C8C34F" w14:textId="77777777" w:rsidR="00526CA7" w:rsidRDefault="00526CA7" w:rsidP="00D33852"/>
                    <w:p w14:paraId="31C8C350" w14:textId="77777777" w:rsidR="00526CA7" w:rsidRDefault="00526CA7" w:rsidP="00D33852"/>
                    <w:p w14:paraId="31C8C351" w14:textId="77777777" w:rsidR="00526CA7" w:rsidRDefault="00526CA7" w:rsidP="00D33852"/>
                    <w:p w14:paraId="31C8C352" w14:textId="77777777" w:rsidR="00526CA7" w:rsidRDefault="00526CA7" w:rsidP="00D33852"/>
                    <w:p w14:paraId="31C8C353" w14:textId="77777777" w:rsidR="00526CA7" w:rsidRPr="003C31AE" w:rsidRDefault="00526CA7" w:rsidP="00D33852"/>
                  </w:txbxContent>
                </v:textbox>
                <w10:wrap type="square"/>
              </v:shape>
            </w:pict>
          </mc:Fallback>
        </mc:AlternateContent>
      </w:r>
      <w:r>
        <w:rPr>
          <w:noProof/>
        </w:rPr>
        <w:drawing>
          <wp:anchor distT="0" distB="0" distL="114300" distR="114300" simplePos="0" relativeHeight="251911680" behindDoc="1" locked="0" layoutInCell="1" allowOverlap="1" wp14:anchorId="31C8C2C6" wp14:editId="5CD83782">
            <wp:simplePos x="0" y="0"/>
            <wp:positionH relativeFrom="page">
              <wp:align>left</wp:align>
            </wp:positionH>
            <wp:positionV relativeFrom="margin">
              <wp:posOffset>-314325</wp:posOffset>
            </wp:positionV>
            <wp:extent cx="7559040" cy="9432290"/>
            <wp:effectExtent l="0" t="0" r="3810" b="0"/>
            <wp:wrapNone/>
            <wp:docPr id="18463" name="Picture 18463" descr="Cas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e_blu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559040" cy="9432290"/>
                    </a:xfrm>
                    <a:prstGeom prst="rect">
                      <a:avLst/>
                    </a:prstGeom>
                    <a:noFill/>
                  </pic:spPr>
                </pic:pic>
              </a:graphicData>
            </a:graphic>
            <wp14:sizeRelH relativeFrom="page">
              <wp14:pctWidth>0</wp14:pctWidth>
            </wp14:sizeRelH>
            <wp14:sizeRelV relativeFrom="page">
              <wp14:pctHeight>0</wp14:pctHeight>
            </wp14:sizeRelV>
          </wp:anchor>
        </w:drawing>
      </w:r>
    </w:p>
    <w:p w14:paraId="31C8BAAC" w14:textId="77777777" w:rsidR="00D33852" w:rsidRPr="003D338A" w:rsidRDefault="00D33852" w:rsidP="00D33852">
      <w:pPr>
        <w:pStyle w:val="Default"/>
        <w:rPr>
          <w:rFonts w:ascii="Calibri" w:eastAsiaTheme="minorEastAsia" w:hAnsi="Calibri" w:cs="Calibri"/>
          <w:b/>
          <w:bCs/>
          <w:color w:val="1F487C"/>
          <w:sz w:val="28"/>
          <w:szCs w:val="28"/>
          <w:lang w:eastAsia="ja-JP"/>
        </w:rPr>
      </w:pPr>
      <w:r w:rsidRPr="003D338A">
        <w:rPr>
          <w:rFonts w:ascii="Calibri" w:eastAsiaTheme="minorEastAsia" w:hAnsi="Calibri" w:cs="Calibri"/>
          <w:b/>
          <w:bCs/>
          <w:color w:val="1F487C"/>
          <w:sz w:val="28"/>
          <w:szCs w:val="28"/>
          <w:lang w:eastAsia="ja-JP"/>
        </w:rPr>
        <w:lastRenderedPageBreak/>
        <w:t xml:space="preserve">Copyright and disclaimer </w:t>
      </w:r>
    </w:p>
    <w:p w14:paraId="31C8BAAD" w14:textId="77777777" w:rsidR="00D33852" w:rsidRPr="00747837" w:rsidRDefault="00D33852" w:rsidP="00D33852">
      <w:pPr>
        <w:pStyle w:val="BodyText"/>
        <w:rPr>
          <w:color w:val="294199" w:themeColor="accent5" w:themeShade="80"/>
          <w:sz w:val="20"/>
          <w:szCs w:val="20"/>
        </w:rPr>
      </w:pPr>
      <w:r w:rsidRPr="00747837">
        <w:rPr>
          <w:color w:val="294199" w:themeColor="accent5" w:themeShade="80"/>
          <w:sz w:val="20"/>
          <w:szCs w:val="20"/>
        </w:rPr>
        <w:t>© Commonwealth of Australia, 2018</w:t>
      </w:r>
    </w:p>
    <w:p w14:paraId="31C8BAAE" w14:textId="77777777" w:rsidR="00D33852" w:rsidRPr="003D338A" w:rsidRDefault="00D33852" w:rsidP="00D33852">
      <w:pPr>
        <w:pStyle w:val="BodyText"/>
        <w:rPr>
          <w:b/>
          <w:color w:val="294199" w:themeColor="accent5" w:themeShade="80"/>
          <w:sz w:val="20"/>
          <w:szCs w:val="20"/>
          <w:highlight w:val="yellow"/>
        </w:rPr>
      </w:pPr>
    </w:p>
    <w:p w14:paraId="31C8BAAF" w14:textId="77777777" w:rsidR="00D33852" w:rsidRPr="003D338A" w:rsidRDefault="00D33852" w:rsidP="00D33852">
      <w:pPr>
        <w:pStyle w:val="BodyText"/>
        <w:rPr>
          <w:b/>
          <w:color w:val="294199" w:themeColor="accent5" w:themeShade="80"/>
          <w:sz w:val="20"/>
          <w:szCs w:val="20"/>
          <w:highlight w:val="yellow"/>
        </w:rPr>
      </w:pPr>
      <w:r w:rsidRPr="003D338A">
        <w:rPr>
          <w:b/>
          <w:noProof/>
          <w:color w:val="294199" w:themeColor="accent5" w:themeShade="80"/>
          <w:sz w:val="20"/>
          <w:szCs w:val="20"/>
          <w:highlight w:val="yellow"/>
        </w:rPr>
        <mc:AlternateContent>
          <mc:Choice Requires="wpg">
            <w:drawing>
              <wp:inline distT="0" distB="0" distL="0" distR="0" wp14:anchorId="31C8C2C8" wp14:editId="31C8C2C9">
                <wp:extent cx="706755" cy="247650"/>
                <wp:effectExtent l="5080" t="3175" r="2540" b="6350"/>
                <wp:docPr id="61464" name="Group 6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0" y="0"/>
                          <a:chExt cx="1113" cy="390"/>
                        </a:xfrm>
                      </wpg:grpSpPr>
                      <wpg:grpSp>
                        <wpg:cNvPr id="61465" name="Group 40"/>
                        <wpg:cNvGrpSpPr>
                          <a:grpSpLocks/>
                        </wpg:cNvGrpSpPr>
                        <wpg:grpSpPr bwMode="auto">
                          <a:xfrm>
                            <a:off x="3" y="5"/>
                            <a:ext cx="1106" cy="378"/>
                            <a:chOff x="3" y="5"/>
                            <a:chExt cx="1106" cy="378"/>
                          </a:xfrm>
                        </wpg:grpSpPr>
                        <wps:wsp>
                          <wps:cNvPr id="61468" name="Freeform 41"/>
                          <wps:cNvSpPr>
                            <a:spLocks/>
                          </wps:cNvSpPr>
                          <wps:spPr bwMode="auto">
                            <a:xfrm>
                              <a:off x="3" y="5"/>
                              <a:ext cx="1106" cy="378"/>
                            </a:xfrm>
                            <a:custGeom>
                              <a:avLst/>
                              <a:gdLst>
                                <a:gd name="T0" fmla="+- 0 29 3"/>
                                <a:gd name="T1" fmla="*/ T0 w 1106"/>
                                <a:gd name="T2" fmla="+- 0 5 5"/>
                                <a:gd name="T3" fmla="*/ 5 h 378"/>
                                <a:gd name="T4" fmla="+- 0 4 3"/>
                                <a:gd name="T5" fmla="*/ T4 w 1106"/>
                                <a:gd name="T6" fmla="+- 0 5 5"/>
                                <a:gd name="T7" fmla="*/ 5 h 378"/>
                                <a:gd name="T8" fmla="+- 0 3 3"/>
                                <a:gd name="T9" fmla="*/ T8 w 1106"/>
                                <a:gd name="T10" fmla="+- 0 19 5"/>
                                <a:gd name="T11" fmla="*/ 19 h 378"/>
                                <a:gd name="T12" fmla="+- 0 3 3"/>
                                <a:gd name="T13" fmla="*/ T12 w 1106"/>
                                <a:gd name="T14" fmla="+- 0 382 5"/>
                                <a:gd name="T15" fmla="*/ 382 h 378"/>
                                <a:gd name="T16" fmla="+- 0 1107 3"/>
                                <a:gd name="T17" fmla="*/ T16 w 1106"/>
                                <a:gd name="T18" fmla="+- 0 382 5"/>
                                <a:gd name="T19" fmla="*/ 382 h 378"/>
                                <a:gd name="T20" fmla="+- 0 1108 3"/>
                                <a:gd name="T21" fmla="*/ T20 w 1106"/>
                                <a:gd name="T22" fmla="+- 0 29 5"/>
                                <a:gd name="T23" fmla="*/ 29 h 378"/>
                                <a:gd name="T24" fmla="+- 0 1098 3"/>
                                <a:gd name="T25" fmla="*/ T24 w 1106"/>
                                <a:gd name="T26" fmla="+- 0 9 5"/>
                                <a:gd name="T27" fmla="*/ 9 h 378"/>
                                <a:gd name="T28" fmla="+- 0 1080 3"/>
                                <a:gd name="T29" fmla="*/ T28 w 1106"/>
                                <a:gd name="T30" fmla="+- 0 7 5"/>
                                <a:gd name="T31" fmla="*/ 7 h 378"/>
                                <a:gd name="T32" fmla="+- 0 29 3"/>
                                <a:gd name="T33" fmla="*/ T32 w 1106"/>
                                <a:gd name="T34" fmla="+- 0 5 5"/>
                                <a:gd name="T35" fmla="*/ 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6" y="0"/>
                                  </a:moveTo>
                                  <a:lnTo>
                                    <a:pt x="1" y="0"/>
                                  </a:lnTo>
                                  <a:lnTo>
                                    <a:pt x="0" y="14"/>
                                  </a:lnTo>
                                  <a:lnTo>
                                    <a:pt x="0" y="377"/>
                                  </a:lnTo>
                                  <a:lnTo>
                                    <a:pt x="1104" y="377"/>
                                  </a:lnTo>
                                  <a:lnTo>
                                    <a:pt x="1105" y="24"/>
                                  </a:lnTo>
                                  <a:lnTo>
                                    <a:pt x="1095" y="4"/>
                                  </a:lnTo>
                                  <a:lnTo>
                                    <a:pt x="1077" y="2"/>
                                  </a:lnTo>
                                  <a:lnTo>
                                    <a:pt x="2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69" name="Group 42"/>
                        <wpg:cNvGrpSpPr>
                          <a:grpSpLocks/>
                        </wpg:cNvGrpSpPr>
                        <wpg:grpSpPr bwMode="auto">
                          <a:xfrm>
                            <a:off x="0" y="0"/>
                            <a:ext cx="1113" cy="390"/>
                            <a:chOff x="0" y="0"/>
                            <a:chExt cx="1113" cy="390"/>
                          </a:xfrm>
                        </wpg:grpSpPr>
                        <wps:wsp>
                          <wps:cNvPr id="61470" name="Freeform 43"/>
                          <wps:cNvSpPr>
                            <a:spLocks/>
                          </wps:cNvSpPr>
                          <wps:spPr bwMode="auto">
                            <a:xfrm>
                              <a:off x="0" y="0"/>
                              <a:ext cx="1113" cy="390"/>
                            </a:xfrm>
                            <a:custGeom>
                              <a:avLst/>
                              <a:gdLst>
                                <a:gd name="T0" fmla="*/ 1103 w 1113"/>
                                <a:gd name="T1" fmla="*/ 0 h 390"/>
                                <a:gd name="T2" fmla="*/ 9 w 1113"/>
                                <a:gd name="T3" fmla="*/ 0 h 390"/>
                                <a:gd name="T4" fmla="*/ 0 w 1113"/>
                                <a:gd name="T5" fmla="*/ 9 h 390"/>
                                <a:gd name="T6" fmla="*/ 0 w 1113"/>
                                <a:gd name="T7" fmla="*/ 387 h 390"/>
                                <a:gd name="T8" fmla="*/ 2 w 1113"/>
                                <a:gd name="T9" fmla="*/ 389 h 390"/>
                                <a:gd name="T10" fmla="*/ 1111 w 1113"/>
                                <a:gd name="T11" fmla="*/ 389 h 390"/>
                                <a:gd name="T12" fmla="*/ 1113 w 1113"/>
                                <a:gd name="T13" fmla="*/ 387 h 390"/>
                                <a:gd name="T14" fmla="*/ 1113 w 1113"/>
                                <a:gd name="T15" fmla="*/ 359 h 390"/>
                                <a:gd name="T16" fmla="*/ 199 w 1113"/>
                                <a:gd name="T17" fmla="*/ 359 h 390"/>
                                <a:gd name="T18" fmla="*/ 176 w 1113"/>
                                <a:gd name="T19" fmla="*/ 357 h 390"/>
                                <a:gd name="T20" fmla="*/ 114 w 1113"/>
                                <a:gd name="T21" fmla="*/ 339 h 390"/>
                                <a:gd name="T22" fmla="*/ 67 w 1113"/>
                                <a:gd name="T23" fmla="*/ 302 h 390"/>
                                <a:gd name="T24" fmla="*/ 55 w 1113"/>
                                <a:gd name="T25" fmla="*/ 286 h 390"/>
                                <a:gd name="T26" fmla="*/ 9 w 1113"/>
                                <a:gd name="T27" fmla="*/ 274 h 390"/>
                                <a:gd name="T28" fmla="*/ 9 w 1113"/>
                                <a:gd name="T29" fmla="*/ 15 h 390"/>
                                <a:gd name="T30" fmla="*/ 15 w 1113"/>
                                <a:gd name="T31" fmla="*/ 9 h 390"/>
                                <a:gd name="T32" fmla="*/ 1113 w 1113"/>
                                <a:gd name="T33" fmla="*/ 9 h 390"/>
                                <a:gd name="T34" fmla="*/ 1103 w 1113"/>
                                <a:gd name="T3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3" h="390">
                                  <a:moveTo>
                                    <a:pt x="1103" y="0"/>
                                  </a:moveTo>
                                  <a:lnTo>
                                    <a:pt x="9" y="0"/>
                                  </a:lnTo>
                                  <a:lnTo>
                                    <a:pt x="0" y="9"/>
                                  </a:lnTo>
                                  <a:lnTo>
                                    <a:pt x="0" y="387"/>
                                  </a:lnTo>
                                  <a:lnTo>
                                    <a:pt x="2" y="389"/>
                                  </a:lnTo>
                                  <a:lnTo>
                                    <a:pt x="1111" y="389"/>
                                  </a:lnTo>
                                  <a:lnTo>
                                    <a:pt x="1113" y="387"/>
                                  </a:lnTo>
                                  <a:lnTo>
                                    <a:pt x="1113" y="359"/>
                                  </a:lnTo>
                                  <a:lnTo>
                                    <a:pt x="199" y="359"/>
                                  </a:lnTo>
                                  <a:lnTo>
                                    <a:pt x="176" y="357"/>
                                  </a:lnTo>
                                  <a:lnTo>
                                    <a:pt x="114" y="339"/>
                                  </a:lnTo>
                                  <a:lnTo>
                                    <a:pt x="67" y="302"/>
                                  </a:lnTo>
                                  <a:lnTo>
                                    <a:pt x="55" y="286"/>
                                  </a:lnTo>
                                  <a:lnTo>
                                    <a:pt x="9" y="274"/>
                                  </a:lnTo>
                                  <a:lnTo>
                                    <a:pt x="9" y="15"/>
                                  </a:lnTo>
                                  <a:lnTo>
                                    <a:pt x="15" y="9"/>
                                  </a:lnTo>
                                  <a:lnTo>
                                    <a:pt x="1113" y="9"/>
                                  </a:lnTo>
                                  <a:lnTo>
                                    <a:pt x="1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71" name="Freeform 44"/>
                          <wps:cNvSpPr>
                            <a:spLocks/>
                          </wps:cNvSpPr>
                          <wps:spPr bwMode="auto">
                            <a:xfrm>
                              <a:off x="0" y="0"/>
                              <a:ext cx="1113" cy="390"/>
                            </a:xfrm>
                            <a:custGeom>
                              <a:avLst/>
                              <a:gdLst>
                                <a:gd name="T0" fmla="*/ 1113 w 1113"/>
                                <a:gd name="T1" fmla="*/ 9 h 390"/>
                                <a:gd name="T2" fmla="*/ 1098 w 1113"/>
                                <a:gd name="T3" fmla="*/ 9 h 390"/>
                                <a:gd name="T4" fmla="*/ 1103 w 1113"/>
                                <a:gd name="T5" fmla="*/ 15 h 390"/>
                                <a:gd name="T6" fmla="*/ 1103 w 1113"/>
                                <a:gd name="T7" fmla="*/ 274 h 390"/>
                                <a:gd name="T8" fmla="*/ 335 w 1113"/>
                                <a:gd name="T9" fmla="*/ 274 h 390"/>
                                <a:gd name="T10" fmla="*/ 324 w 1113"/>
                                <a:gd name="T11" fmla="*/ 291 h 390"/>
                                <a:gd name="T12" fmla="*/ 311 w 1113"/>
                                <a:gd name="T13" fmla="*/ 307 h 390"/>
                                <a:gd name="T14" fmla="*/ 261 w 1113"/>
                                <a:gd name="T15" fmla="*/ 343 h 390"/>
                                <a:gd name="T16" fmla="*/ 199 w 1113"/>
                                <a:gd name="T17" fmla="*/ 359 h 390"/>
                                <a:gd name="T18" fmla="*/ 1113 w 1113"/>
                                <a:gd name="T19" fmla="*/ 359 h 390"/>
                                <a:gd name="T20" fmla="*/ 1113 w 1113"/>
                                <a:gd name="T21" fmla="*/ 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3" h="390">
                                  <a:moveTo>
                                    <a:pt x="1113" y="9"/>
                                  </a:moveTo>
                                  <a:lnTo>
                                    <a:pt x="1098" y="9"/>
                                  </a:lnTo>
                                  <a:lnTo>
                                    <a:pt x="1103" y="15"/>
                                  </a:lnTo>
                                  <a:lnTo>
                                    <a:pt x="1103" y="274"/>
                                  </a:lnTo>
                                  <a:lnTo>
                                    <a:pt x="335" y="274"/>
                                  </a:lnTo>
                                  <a:lnTo>
                                    <a:pt x="324" y="291"/>
                                  </a:lnTo>
                                  <a:lnTo>
                                    <a:pt x="311" y="307"/>
                                  </a:lnTo>
                                  <a:lnTo>
                                    <a:pt x="261" y="343"/>
                                  </a:lnTo>
                                  <a:lnTo>
                                    <a:pt x="199" y="359"/>
                                  </a:lnTo>
                                  <a:lnTo>
                                    <a:pt x="1113" y="359"/>
                                  </a:lnTo>
                                  <a:lnTo>
                                    <a:pt x="1113"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2" name="Group 45"/>
                        <wpg:cNvGrpSpPr>
                          <a:grpSpLocks/>
                        </wpg:cNvGrpSpPr>
                        <wpg:grpSpPr bwMode="auto">
                          <a:xfrm>
                            <a:off x="655" y="304"/>
                            <a:ext cx="52" cy="62"/>
                            <a:chOff x="655" y="304"/>
                            <a:chExt cx="52" cy="62"/>
                          </a:xfrm>
                        </wpg:grpSpPr>
                        <wps:wsp>
                          <wps:cNvPr id="18433" name="Freeform 46"/>
                          <wps:cNvSpPr>
                            <a:spLocks/>
                          </wps:cNvSpPr>
                          <wps:spPr bwMode="auto">
                            <a:xfrm>
                              <a:off x="655" y="304"/>
                              <a:ext cx="52" cy="62"/>
                            </a:xfrm>
                            <a:custGeom>
                              <a:avLst/>
                              <a:gdLst>
                                <a:gd name="T0" fmla="+- 0 687 655"/>
                                <a:gd name="T1" fmla="*/ T0 w 52"/>
                                <a:gd name="T2" fmla="+- 0 304 304"/>
                                <a:gd name="T3" fmla="*/ 304 h 62"/>
                                <a:gd name="T4" fmla="+- 0 655 655"/>
                                <a:gd name="T5" fmla="*/ T4 w 52"/>
                                <a:gd name="T6" fmla="+- 0 304 304"/>
                                <a:gd name="T7" fmla="*/ 304 h 62"/>
                                <a:gd name="T8" fmla="+- 0 655 655"/>
                                <a:gd name="T9" fmla="*/ T8 w 52"/>
                                <a:gd name="T10" fmla="+- 0 365 304"/>
                                <a:gd name="T11" fmla="*/ 365 h 62"/>
                                <a:gd name="T12" fmla="+- 0 688 655"/>
                                <a:gd name="T13" fmla="*/ T12 w 52"/>
                                <a:gd name="T14" fmla="+- 0 365 304"/>
                                <a:gd name="T15" fmla="*/ 365 h 62"/>
                                <a:gd name="T16" fmla="+- 0 691 655"/>
                                <a:gd name="T17" fmla="*/ T16 w 52"/>
                                <a:gd name="T18" fmla="+- 0 365 304"/>
                                <a:gd name="T19" fmla="*/ 365 h 62"/>
                                <a:gd name="T20" fmla="+- 0 706 655"/>
                                <a:gd name="T21" fmla="*/ T20 w 52"/>
                                <a:gd name="T22" fmla="+- 0 355 304"/>
                                <a:gd name="T23" fmla="*/ 355 h 62"/>
                                <a:gd name="T24" fmla="+- 0 669 655"/>
                                <a:gd name="T25" fmla="*/ T24 w 52"/>
                                <a:gd name="T26" fmla="+- 0 355 304"/>
                                <a:gd name="T27" fmla="*/ 355 h 62"/>
                                <a:gd name="T28" fmla="+- 0 669 655"/>
                                <a:gd name="T29" fmla="*/ T28 w 52"/>
                                <a:gd name="T30" fmla="+- 0 338 304"/>
                                <a:gd name="T31" fmla="*/ 338 h 62"/>
                                <a:gd name="T32" fmla="+- 0 704 655"/>
                                <a:gd name="T33" fmla="*/ T32 w 52"/>
                                <a:gd name="T34" fmla="+- 0 338 304"/>
                                <a:gd name="T35" fmla="*/ 338 h 62"/>
                                <a:gd name="T36" fmla="+- 0 702 655"/>
                                <a:gd name="T37" fmla="*/ T36 w 52"/>
                                <a:gd name="T38" fmla="+- 0 335 304"/>
                                <a:gd name="T39" fmla="*/ 335 h 62"/>
                                <a:gd name="T40" fmla="+- 0 699 655"/>
                                <a:gd name="T41" fmla="*/ T40 w 52"/>
                                <a:gd name="T42" fmla="+- 0 333 304"/>
                                <a:gd name="T43" fmla="*/ 333 h 62"/>
                                <a:gd name="T44" fmla="+- 0 696 655"/>
                                <a:gd name="T45" fmla="*/ T44 w 52"/>
                                <a:gd name="T46" fmla="+- 0 332 304"/>
                                <a:gd name="T47" fmla="*/ 332 h 62"/>
                                <a:gd name="T48" fmla="+- 0 698 655"/>
                                <a:gd name="T49" fmla="*/ T48 w 52"/>
                                <a:gd name="T50" fmla="+- 0 330 304"/>
                                <a:gd name="T51" fmla="*/ 330 h 62"/>
                                <a:gd name="T52" fmla="+- 0 700 655"/>
                                <a:gd name="T53" fmla="*/ T52 w 52"/>
                                <a:gd name="T54" fmla="+- 0 329 304"/>
                                <a:gd name="T55" fmla="*/ 329 h 62"/>
                                <a:gd name="T56" fmla="+- 0 669 655"/>
                                <a:gd name="T57" fmla="*/ T56 w 52"/>
                                <a:gd name="T58" fmla="+- 0 328 304"/>
                                <a:gd name="T59" fmla="*/ 328 h 62"/>
                                <a:gd name="T60" fmla="+- 0 669 655"/>
                                <a:gd name="T61" fmla="*/ T60 w 52"/>
                                <a:gd name="T62" fmla="+- 0 314 304"/>
                                <a:gd name="T63" fmla="*/ 314 h 62"/>
                                <a:gd name="T64" fmla="+- 0 704 655"/>
                                <a:gd name="T65" fmla="*/ T64 w 52"/>
                                <a:gd name="T66" fmla="+- 0 314 304"/>
                                <a:gd name="T67" fmla="*/ 314 h 62"/>
                                <a:gd name="T68" fmla="+- 0 704 655"/>
                                <a:gd name="T69" fmla="*/ T68 w 52"/>
                                <a:gd name="T70" fmla="+- 0 314 304"/>
                                <a:gd name="T71" fmla="*/ 314 h 62"/>
                                <a:gd name="T72" fmla="+- 0 690 655"/>
                                <a:gd name="T73" fmla="*/ T72 w 52"/>
                                <a:gd name="T74" fmla="+- 0 304 304"/>
                                <a:gd name="T75" fmla="*/ 304 h 62"/>
                                <a:gd name="T76" fmla="+- 0 687 655"/>
                                <a:gd name="T77" fmla="*/ T76 w 52"/>
                                <a:gd name="T78" fmla="+- 0 304 304"/>
                                <a:gd name="T79"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6" y="61"/>
                                  </a:lnTo>
                                  <a:lnTo>
                                    <a:pt x="51" y="51"/>
                                  </a:lnTo>
                                  <a:lnTo>
                                    <a:pt x="14" y="51"/>
                                  </a:lnTo>
                                  <a:lnTo>
                                    <a:pt x="14" y="34"/>
                                  </a:lnTo>
                                  <a:lnTo>
                                    <a:pt x="49" y="34"/>
                                  </a:lnTo>
                                  <a:lnTo>
                                    <a:pt x="47" y="31"/>
                                  </a:lnTo>
                                  <a:lnTo>
                                    <a:pt x="44" y="29"/>
                                  </a:lnTo>
                                  <a:lnTo>
                                    <a:pt x="41" y="28"/>
                                  </a:lnTo>
                                  <a:lnTo>
                                    <a:pt x="43" y="26"/>
                                  </a:lnTo>
                                  <a:lnTo>
                                    <a:pt x="45" y="25"/>
                                  </a:lnTo>
                                  <a:lnTo>
                                    <a:pt x="14" y="24"/>
                                  </a:lnTo>
                                  <a:lnTo>
                                    <a:pt x="14" y="10"/>
                                  </a:lnTo>
                                  <a:lnTo>
                                    <a:pt x="49"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4" name="Freeform 47"/>
                          <wps:cNvSpPr>
                            <a:spLocks/>
                          </wps:cNvSpPr>
                          <wps:spPr bwMode="auto">
                            <a:xfrm>
                              <a:off x="655" y="304"/>
                              <a:ext cx="52" cy="62"/>
                            </a:xfrm>
                            <a:custGeom>
                              <a:avLst/>
                              <a:gdLst>
                                <a:gd name="T0" fmla="+- 0 704 655"/>
                                <a:gd name="T1" fmla="*/ T0 w 52"/>
                                <a:gd name="T2" fmla="+- 0 338 304"/>
                                <a:gd name="T3" fmla="*/ 338 h 62"/>
                                <a:gd name="T4" fmla="+- 0 687 655"/>
                                <a:gd name="T5" fmla="*/ T4 w 52"/>
                                <a:gd name="T6" fmla="+- 0 338 304"/>
                                <a:gd name="T7" fmla="*/ 338 h 62"/>
                                <a:gd name="T8" fmla="+- 0 689 655"/>
                                <a:gd name="T9" fmla="*/ T8 w 52"/>
                                <a:gd name="T10" fmla="+- 0 338 304"/>
                                <a:gd name="T11" fmla="*/ 338 h 62"/>
                                <a:gd name="T12" fmla="+- 0 693 655"/>
                                <a:gd name="T13" fmla="*/ T12 w 52"/>
                                <a:gd name="T14" fmla="+- 0 341 304"/>
                                <a:gd name="T15" fmla="*/ 341 h 62"/>
                                <a:gd name="T16" fmla="+- 0 693 655"/>
                                <a:gd name="T17" fmla="*/ T16 w 52"/>
                                <a:gd name="T18" fmla="+- 0 343 304"/>
                                <a:gd name="T19" fmla="*/ 343 h 62"/>
                                <a:gd name="T20" fmla="+- 0 693 655"/>
                                <a:gd name="T21" fmla="*/ T20 w 52"/>
                                <a:gd name="T22" fmla="+- 0 348 304"/>
                                <a:gd name="T23" fmla="*/ 348 h 62"/>
                                <a:gd name="T24" fmla="+- 0 683 655"/>
                                <a:gd name="T25" fmla="*/ T24 w 52"/>
                                <a:gd name="T26" fmla="+- 0 355 304"/>
                                <a:gd name="T27" fmla="*/ 355 h 62"/>
                                <a:gd name="T28" fmla="+- 0 706 655"/>
                                <a:gd name="T29" fmla="*/ T28 w 52"/>
                                <a:gd name="T30" fmla="+- 0 355 304"/>
                                <a:gd name="T31" fmla="*/ 355 h 62"/>
                                <a:gd name="T32" fmla="+- 0 706 655"/>
                                <a:gd name="T33" fmla="*/ T32 w 52"/>
                                <a:gd name="T34" fmla="+- 0 353 304"/>
                                <a:gd name="T35" fmla="*/ 353 h 62"/>
                                <a:gd name="T36" fmla="+- 0 707 655"/>
                                <a:gd name="T37" fmla="*/ T36 w 52"/>
                                <a:gd name="T38" fmla="+- 0 350 304"/>
                                <a:gd name="T39" fmla="*/ 350 h 62"/>
                                <a:gd name="T40" fmla="+- 0 707 655"/>
                                <a:gd name="T41" fmla="*/ T40 w 52"/>
                                <a:gd name="T42" fmla="+- 0 343 304"/>
                                <a:gd name="T43" fmla="*/ 343 h 62"/>
                                <a:gd name="T44" fmla="+- 0 706 655"/>
                                <a:gd name="T45" fmla="*/ T44 w 52"/>
                                <a:gd name="T46" fmla="+- 0 340 304"/>
                                <a:gd name="T47" fmla="*/ 340 h 62"/>
                                <a:gd name="T48" fmla="+- 0 704 655"/>
                                <a:gd name="T49" fmla="*/ T48 w 52"/>
                                <a:gd name="T50" fmla="+- 0 338 304"/>
                                <a:gd name="T51" fmla="*/ 33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2" y="34"/>
                                  </a:lnTo>
                                  <a:lnTo>
                                    <a:pt x="34" y="34"/>
                                  </a:lnTo>
                                  <a:lnTo>
                                    <a:pt x="38" y="37"/>
                                  </a:lnTo>
                                  <a:lnTo>
                                    <a:pt x="38" y="39"/>
                                  </a:lnTo>
                                  <a:lnTo>
                                    <a:pt x="38" y="44"/>
                                  </a:lnTo>
                                  <a:lnTo>
                                    <a:pt x="28" y="51"/>
                                  </a:lnTo>
                                  <a:lnTo>
                                    <a:pt x="51"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5" name="Freeform 48"/>
                          <wps:cNvSpPr>
                            <a:spLocks/>
                          </wps:cNvSpPr>
                          <wps:spPr bwMode="auto">
                            <a:xfrm>
                              <a:off x="655" y="304"/>
                              <a:ext cx="52" cy="62"/>
                            </a:xfrm>
                            <a:custGeom>
                              <a:avLst/>
                              <a:gdLst>
                                <a:gd name="T0" fmla="+- 0 704 655"/>
                                <a:gd name="T1" fmla="*/ T0 w 52"/>
                                <a:gd name="T2" fmla="+- 0 314 304"/>
                                <a:gd name="T3" fmla="*/ 314 h 62"/>
                                <a:gd name="T4" fmla="+- 0 669 655"/>
                                <a:gd name="T5" fmla="*/ T4 w 52"/>
                                <a:gd name="T6" fmla="+- 0 314 304"/>
                                <a:gd name="T7" fmla="*/ 314 h 62"/>
                                <a:gd name="T8" fmla="+- 0 684 655"/>
                                <a:gd name="T9" fmla="*/ T8 w 52"/>
                                <a:gd name="T10" fmla="+- 0 314 304"/>
                                <a:gd name="T11" fmla="*/ 314 h 62"/>
                                <a:gd name="T12" fmla="+- 0 686 655"/>
                                <a:gd name="T13" fmla="*/ T12 w 52"/>
                                <a:gd name="T14" fmla="+- 0 315 304"/>
                                <a:gd name="T15" fmla="*/ 315 h 62"/>
                                <a:gd name="T16" fmla="+- 0 691 655"/>
                                <a:gd name="T17" fmla="*/ T16 w 52"/>
                                <a:gd name="T18" fmla="+- 0 320 304"/>
                                <a:gd name="T19" fmla="*/ 320 h 62"/>
                                <a:gd name="T20" fmla="+- 0 691 655"/>
                                <a:gd name="T21" fmla="*/ T20 w 52"/>
                                <a:gd name="T22" fmla="+- 0 324 304"/>
                                <a:gd name="T23" fmla="*/ 324 h 62"/>
                                <a:gd name="T24" fmla="+- 0 690 655"/>
                                <a:gd name="T25" fmla="*/ T24 w 52"/>
                                <a:gd name="T26" fmla="+- 0 326 304"/>
                                <a:gd name="T27" fmla="*/ 326 h 62"/>
                                <a:gd name="T28" fmla="+- 0 687 655"/>
                                <a:gd name="T29" fmla="*/ T28 w 52"/>
                                <a:gd name="T30" fmla="+- 0 328 304"/>
                                <a:gd name="T31" fmla="*/ 328 h 62"/>
                                <a:gd name="T32" fmla="+- 0 685 655"/>
                                <a:gd name="T33" fmla="*/ T32 w 52"/>
                                <a:gd name="T34" fmla="+- 0 328 304"/>
                                <a:gd name="T35" fmla="*/ 328 h 62"/>
                                <a:gd name="T36" fmla="+- 0 701 655"/>
                                <a:gd name="T37" fmla="*/ T36 w 52"/>
                                <a:gd name="T38" fmla="+- 0 328 304"/>
                                <a:gd name="T39" fmla="*/ 328 h 62"/>
                                <a:gd name="T40" fmla="+- 0 703 655"/>
                                <a:gd name="T41" fmla="*/ T40 w 52"/>
                                <a:gd name="T42" fmla="+- 0 325 304"/>
                                <a:gd name="T43" fmla="*/ 325 h 62"/>
                                <a:gd name="T44" fmla="+- 0 704 655"/>
                                <a:gd name="T45" fmla="*/ T44 w 52"/>
                                <a:gd name="T46" fmla="+- 0 322 304"/>
                                <a:gd name="T47" fmla="*/ 322 h 62"/>
                                <a:gd name="T48" fmla="+- 0 704 655"/>
                                <a:gd name="T49" fmla="*/ T48 w 52"/>
                                <a:gd name="T50" fmla="+- 0 315 304"/>
                                <a:gd name="T51" fmla="*/ 315 h 62"/>
                                <a:gd name="T52" fmla="+- 0 704 655"/>
                                <a:gd name="T53" fmla="*/ T52 w 52"/>
                                <a:gd name="T54" fmla="+- 0 314 304"/>
                                <a:gd name="T55"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9" y="10"/>
                                  </a:moveTo>
                                  <a:lnTo>
                                    <a:pt x="14" y="10"/>
                                  </a:lnTo>
                                  <a:lnTo>
                                    <a:pt x="29" y="10"/>
                                  </a:lnTo>
                                  <a:lnTo>
                                    <a:pt x="31" y="11"/>
                                  </a:lnTo>
                                  <a:lnTo>
                                    <a:pt x="36" y="16"/>
                                  </a:lnTo>
                                  <a:lnTo>
                                    <a:pt x="36" y="20"/>
                                  </a:lnTo>
                                  <a:lnTo>
                                    <a:pt x="35" y="22"/>
                                  </a:lnTo>
                                  <a:lnTo>
                                    <a:pt x="32" y="24"/>
                                  </a:lnTo>
                                  <a:lnTo>
                                    <a:pt x="30" y="24"/>
                                  </a:lnTo>
                                  <a:lnTo>
                                    <a:pt x="46" y="24"/>
                                  </a:lnTo>
                                  <a:lnTo>
                                    <a:pt x="48" y="21"/>
                                  </a:lnTo>
                                  <a:lnTo>
                                    <a:pt x="49" y="18"/>
                                  </a:lnTo>
                                  <a:lnTo>
                                    <a:pt x="49" y="11"/>
                                  </a:lnTo>
                                  <a:lnTo>
                                    <a:pt x="4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6" name="Group 49"/>
                        <wpg:cNvGrpSpPr>
                          <a:grpSpLocks/>
                        </wpg:cNvGrpSpPr>
                        <wpg:grpSpPr bwMode="auto">
                          <a:xfrm>
                            <a:off x="709" y="304"/>
                            <a:ext cx="59" cy="62"/>
                            <a:chOff x="709" y="304"/>
                            <a:chExt cx="59" cy="62"/>
                          </a:xfrm>
                        </wpg:grpSpPr>
                        <wps:wsp>
                          <wps:cNvPr id="18437" name="Freeform 50"/>
                          <wps:cNvSpPr>
                            <a:spLocks/>
                          </wps:cNvSpPr>
                          <wps:spPr bwMode="auto">
                            <a:xfrm>
                              <a:off x="709" y="304"/>
                              <a:ext cx="59" cy="62"/>
                            </a:xfrm>
                            <a:custGeom>
                              <a:avLst/>
                              <a:gdLst>
                                <a:gd name="T0" fmla="+- 0 724 709"/>
                                <a:gd name="T1" fmla="*/ T0 w 59"/>
                                <a:gd name="T2" fmla="+- 0 304 304"/>
                                <a:gd name="T3" fmla="*/ 304 h 62"/>
                                <a:gd name="T4" fmla="+- 0 709 709"/>
                                <a:gd name="T5" fmla="*/ T4 w 59"/>
                                <a:gd name="T6" fmla="+- 0 304 304"/>
                                <a:gd name="T7" fmla="*/ 304 h 62"/>
                                <a:gd name="T8" fmla="+- 0 732 709"/>
                                <a:gd name="T9" fmla="*/ T8 w 59"/>
                                <a:gd name="T10" fmla="+- 0 341 304"/>
                                <a:gd name="T11" fmla="*/ 341 h 62"/>
                                <a:gd name="T12" fmla="+- 0 732 709"/>
                                <a:gd name="T13" fmla="*/ T12 w 59"/>
                                <a:gd name="T14" fmla="+- 0 365 304"/>
                                <a:gd name="T15" fmla="*/ 365 h 62"/>
                                <a:gd name="T16" fmla="+- 0 745 709"/>
                                <a:gd name="T17" fmla="*/ T16 w 59"/>
                                <a:gd name="T18" fmla="+- 0 365 304"/>
                                <a:gd name="T19" fmla="*/ 365 h 62"/>
                                <a:gd name="T20" fmla="+- 0 745 709"/>
                                <a:gd name="T21" fmla="*/ T20 w 59"/>
                                <a:gd name="T22" fmla="+- 0 341 304"/>
                                <a:gd name="T23" fmla="*/ 341 h 62"/>
                                <a:gd name="T24" fmla="+- 0 754 709"/>
                                <a:gd name="T25" fmla="*/ T24 w 59"/>
                                <a:gd name="T26" fmla="+- 0 328 304"/>
                                <a:gd name="T27" fmla="*/ 328 h 62"/>
                                <a:gd name="T28" fmla="+- 0 739 709"/>
                                <a:gd name="T29" fmla="*/ T28 w 59"/>
                                <a:gd name="T30" fmla="+- 0 328 304"/>
                                <a:gd name="T31" fmla="*/ 328 h 62"/>
                                <a:gd name="T32" fmla="+- 0 724 709"/>
                                <a:gd name="T33" fmla="*/ T32 w 59"/>
                                <a:gd name="T34" fmla="+- 0 304 304"/>
                                <a:gd name="T35"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7"/>
                                  </a:lnTo>
                                  <a:lnTo>
                                    <a:pt x="45"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8" name="Freeform 51"/>
                          <wps:cNvSpPr>
                            <a:spLocks/>
                          </wps:cNvSpPr>
                          <wps:spPr bwMode="auto">
                            <a:xfrm>
                              <a:off x="709" y="304"/>
                              <a:ext cx="59" cy="62"/>
                            </a:xfrm>
                            <a:custGeom>
                              <a:avLst/>
                              <a:gdLst>
                                <a:gd name="T0" fmla="+- 0 768 709"/>
                                <a:gd name="T1" fmla="*/ T0 w 59"/>
                                <a:gd name="T2" fmla="+- 0 304 304"/>
                                <a:gd name="T3" fmla="*/ 304 h 62"/>
                                <a:gd name="T4" fmla="+- 0 753 709"/>
                                <a:gd name="T5" fmla="*/ T4 w 59"/>
                                <a:gd name="T6" fmla="+- 0 304 304"/>
                                <a:gd name="T7" fmla="*/ 304 h 62"/>
                                <a:gd name="T8" fmla="+- 0 739 709"/>
                                <a:gd name="T9" fmla="*/ T8 w 59"/>
                                <a:gd name="T10" fmla="+- 0 328 304"/>
                                <a:gd name="T11" fmla="*/ 328 h 62"/>
                                <a:gd name="T12" fmla="+- 0 754 709"/>
                                <a:gd name="T13" fmla="*/ T12 w 59"/>
                                <a:gd name="T14" fmla="+- 0 328 304"/>
                                <a:gd name="T15" fmla="*/ 328 h 62"/>
                                <a:gd name="T16" fmla="+- 0 768 709"/>
                                <a:gd name="T17" fmla="*/ T16 w 59"/>
                                <a:gd name="T18" fmla="+- 0 304 304"/>
                                <a:gd name="T19" fmla="*/ 304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5"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9" name="Group 52"/>
                        <wpg:cNvGrpSpPr>
                          <a:grpSpLocks/>
                        </wpg:cNvGrpSpPr>
                        <wpg:grpSpPr bwMode="auto">
                          <a:xfrm>
                            <a:off x="65" y="57"/>
                            <a:ext cx="253" cy="250"/>
                            <a:chOff x="65" y="57"/>
                            <a:chExt cx="253" cy="250"/>
                          </a:xfrm>
                        </wpg:grpSpPr>
                        <wps:wsp>
                          <wps:cNvPr id="18440" name="Freeform 53"/>
                          <wps:cNvSpPr>
                            <a:spLocks/>
                          </wps:cNvSpPr>
                          <wps:spPr bwMode="auto">
                            <a:xfrm>
                              <a:off x="65" y="57"/>
                              <a:ext cx="253" cy="250"/>
                            </a:xfrm>
                            <a:custGeom>
                              <a:avLst/>
                              <a:gdLst>
                                <a:gd name="T0" fmla="+- 0 170 65"/>
                                <a:gd name="T1" fmla="*/ T0 w 253"/>
                                <a:gd name="T2" fmla="+- 0 57 57"/>
                                <a:gd name="T3" fmla="*/ 57 h 250"/>
                                <a:gd name="T4" fmla="+- 0 110 65"/>
                                <a:gd name="T5" fmla="*/ T4 w 253"/>
                                <a:gd name="T6" fmla="+- 0 85 57"/>
                                <a:gd name="T7" fmla="*/ 85 h 250"/>
                                <a:gd name="T8" fmla="+- 0 73 65"/>
                                <a:gd name="T9" fmla="*/ T8 w 253"/>
                                <a:gd name="T10" fmla="+- 0 137 57"/>
                                <a:gd name="T11" fmla="*/ 137 h 250"/>
                                <a:gd name="T12" fmla="+- 0 65 65"/>
                                <a:gd name="T13" fmla="*/ T12 w 253"/>
                                <a:gd name="T14" fmla="+- 0 182 57"/>
                                <a:gd name="T15" fmla="*/ 182 h 250"/>
                                <a:gd name="T16" fmla="+- 0 66 65"/>
                                <a:gd name="T17" fmla="*/ T16 w 253"/>
                                <a:gd name="T18" fmla="+- 0 199 57"/>
                                <a:gd name="T19" fmla="*/ 199 h 250"/>
                                <a:gd name="T20" fmla="+- 0 89 65"/>
                                <a:gd name="T21" fmla="*/ T20 w 253"/>
                                <a:gd name="T22" fmla="+- 0 254 57"/>
                                <a:gd name="T23" fmla="*/ 254 h 250"/>
                                <a:gd name="T24" fmla="+- 0 139 65"/>
                                <a:gd name="T25" fmla="*/ T24 w 253"/>
                                <a:gd name="T26" fmla="+- 0 293 57"/>
                                <a:gd name="T27" fmla="*/ 293 h 250"/>
                                <a:gd name="T28" fmla="+- 0 213 65"/>
                                <a:gd name="T29" fmla="*/ T28 w 253"/>
                                <a:gd name="T30" fmla="+- 0 306 57"/>
                                <a:gd name="T31" fmla="*/ 306 h 250"/>
                                <a:gd name="T32" fmla="+- 0 234 65"/>
                                <a:gd name="T33" fmla="*/ T32 w 253"/>
                                <a:gd name="T34" fmla="+- 0 301 57"/>
                                <a:gd name="T35" fmla="*/ 301 h 250"/>
                                <a:gd name="T36" fmla="+- 0 288 65"/>
                                <a:gd name="T37" fmla="*/ T36 w 253"/>
                                <a:gd name="T38" fmla="+- 0 264 57"/>
                                <a:gd name="T39" fmla="*/ 264 h 250"/>
                                <a:gd name="T40" fmla="+- 0 316 65"/>
                                <a:gd name="T41" fmla="*/ T40 w 253"/>
                                <a:gd name="T42" fmla="+- 0 205 57"/>
                                <a:gd name="T43" fmla="*/ 205 h 250"/>
                                <a:gd name="T44" fmla="+- 0 318 65"/>
                                <a:gd name="T45" fmla="*/ T44 w 253"/>
                                <a:gd name="T46" fmla="+- 0 182 57"/>
                                <a:gd name="T47" fmla="*/ 182 h 250"/>
                                <a:gd name="T48" fmla="+- 0 316 65"/>
                                <a:gd name="T49" fmla="*/ T48 w 253"/>
                                <a:gd name="T50" fmla="+- 0 165 57"/>
                                <a:gd name="T51" fmla="*/ 165 h 250"/>
                                <a:gd name="T52" fmla="+- 0 293 65"/>
                                <a:gd name="T53" fmla="*/ T52 w 253"/>
                                <a:gd name="T54" fmla="+- 0 109 57"/>
                                <a:gd name="T55" fmla="*/ 109 h 250"/>
                                <a:gd name="T56" fmla="+- 0 243 65"/>
                                <a:gd name="T57" fmla="*/ T56 w 253"/>
                                <a:gd name="T58" fmla="+- 0 71 57"/>
                                <a:gd name="T59" fmla="*/ 71 h 250"/>
                                <a:gd name="T60" fmla="+- 0 170 65"/>
                                <a:gd name="T61" fmla="*/ T60 w 253"/>
                                <a:gd name="T62" fmla="+- 0 57 57"/>
                                <a:gd name="T63" fmla="*/ 5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5" y="0"/>
                                  </a:moveTo>
                                  <a:lnTo>
                                    <a:pt x="45" y="28"/>
                                  </a:lnTo>
                                  <a:lnTo>
                                    <a:pt x="8" y="80"/>
                                  </a:lnTo>
                                  <a:lnTo>
                                    <a:pt x="0" y="125"/>
                                  </a:lnTo>
                                  <a:lnTo>
                                    <a:pt x="1" y="142"/>
                                  </a:lnTo>
                                  <a:lnTo>
                                    <a:pt x="24" y="197"/>
                                  </a:lnTo>
                                  <a:lnTo>
                                    <a:pt x="74" y="236"/>
                                  </a:lnTo>
                                  <a:lnTo>
                                    <a:pt x="148" y="249"/>
                                  </a:lnTo>
                                  <a:lnTo>
                                    <a:pt x="169" y="244"/>
                                  </a:lnTo>
                                  <a:lnTo>
                                    <a:pt x="223" y="207"/>
                                  </a:lnTo>
                                  <a:lnTo>
                                    <a:pt x="251" y="148"/>
                                  </a:lnTo>
                                  <a:lnTo>
                                    <a:pt x="253" y="125"/>
                                  </a:lnTo>
                                  <a:lnTo>
                                    <a:pt x="251" y="108"/>
                                  </a:lnTo>
                                  <a:lnTo>
                                    <a:pt x="228" y="52"/>
                                  </a:lnTo>
                                  <a:lnTo>
                                    <a:pt x="178" y="1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1" name="Group 54"/>
                        <wpg:cNvGrpSpPr>
                          <a:grpSpLocks/>
                        </wpg:cNvGrpSpPr>
                        <wpg:grpSpPr bwMode="auto">
                          <a:xfrm>
                            <a:off x="47" y="37"/>
                            <a:ext cx="289" cy="289"/>
                            <a:chOff x="47" y="37"/>
                            <a:chExt cx="289" cy="289"/>
                          </a:xfrm>
                        </wpg:grpSpPr>
                        <wps:wsp>
                          <wps:cNvPr id="18443" name="Freeform 55"/>
                          <wps:cNvSpPr>
                            <a:spLocks/>
                          </wps:cNvSpPr>
                          <wps:spPr bwMode="auto">
                            <a:xfrm>
                              <a:off x="47" y="37"/>
                              <a:ext cx="289" cy="289"/>
                            </a:xfrm>
                            <a:custGeom>
                              <a:avLst/>
                              <a:gdLst>
                                <a:gd name="T0" fmla="+- 0 176 47"/>
                                <a:gd name="T1" fmla="*/ T0 w 289"/>
                                <a:gd name="T2" fmla="+- 0 37 37"/>
                                <a:gd name="T3" fmla="*/ 37 h 289"/>
                                <a:gd name="T4" fmla="+- 0 102 47"/>
                                <a:gd name="T5" fmla="*/ T4 w 289"/>
                                <a:gd name="T6" fmla="+- 0 68 37"/>
                                <a:gd name="T7" fmla="*/ 68 h 289"/>
                                <a:gd name="T8" fmla="+- 0 56 47"/>
                                <a:gd name="T9" fmla="*/ T8 w 289"/>
                                <a:gd name="T10" fmla="+- 0 131 37"/>
                                <a:gd name="T11" fmla="*/ 131 h 289"/>
                                <a:gd name="T12" fmla="+- 0 47 47"/>
                                <a:gd name="T13" fmla="*/ T12 w 289"/>
                                <a:gd name="T14" fmla="+- 0 196 37"/>
                                <a:gd name="T15" fmla="*/ 196 h 289"/>
                                <a:gd name="T16" fmla="+- 0 50 47"/>
                                <a:gd name="T17" fmla="*/ T16 w 289"/>
                                <a:gd name="T18" fmla="+- 0 216 37"/>
                                <a:gd name="T19" fmla="*/ 216 h 289"/>
                                <a:gd name="T20" fmla="+- 0 77 47"/>
                                <a:gd name="T21" fmla="*/ T20 w 289"/>
                                <a:gd name="T22" fmla="+- 0 270 37"/>
                                <a:gd name="T23" fmla="*/ 270 h 289"/>
                                <a:gd name="T24" fmla="+- 0 139 47"/>
                                <a:gd name="T25" fmla="*/ T24 w 289"/>
                                <a:gd name="T26" fmla="+- 0 317 37"/>
                                <a:gd name="T27" fmla="*/ 317 h 289"/>
                                <a:gd name="T28" fmla="+- 0 205 47"/>
                                <a:gd name="T29" fmla="*/ T28 w 289"/>
                                <a:gd name="T30" fmla="+- 0 326 37"/>
                                <a:gd name="T31" fmla="*/ 326 h 289"/>
                                <a:gd name="T32" fmla="+- 0 225 47"/>
                                <a:gd name="T33" fmla="*/ T32 w 289"/>
                                <a:gd name="T34" fmla="+- 0 323 37"/>
                                <a:gd name="T35" fmla="*/ 323 h 289"/>
                                <a:gd name="T36" fmla="+- 0 244 47"/>
                                <a:gd name="T37" fmla="*/ T36 w 289"/>
                                <a:gd name="T38" fmla="+- 0 317 37"/>
                                <a:gd name="T39" fmla="*/ 317 h 289"/>
                                <a:gd name="T40" fmla="+- 0 262 47"/>
                                <a:gd name="T41" fmla="*/ T40 w 289"/>
                                <a:gd name="T42" fmla="+- 0 308 37"/>
                                <a:gd name="T43" fmla="*/ 308 h 289"/>
                                <a:gd name="T44" fmla="+- 0 275 47"/>
                                <a:gd name="T45" fmla="*/ T44 w 289"/>
                                <a:gd name="T46" fmla="+- 0 300 37"/>
                                <a:gd name="T47" fmla="*/ 300 h 289"/>
                                <a:gd name="T48" fmla="+- 0 179 47"/>
                                <a:gd name="T49" fmla="*/ T48 w 289"/>
                                <a:gd name="T50" fmla="+- 0 300 37"/>
                                <a:gd name="T51" fmla="*/ 300 h 289"/>
                                <a:gd name="T52" fmla="+- 0 159 47"/>
                                <a:gd name="T53" fmla="*/ T52 w 289"/>
                                <a:gd name="T54" fmla="+- 0 296 37"/>
                                <a:gd name="T55" fmla="*/ 296 h 289"/>
                                <a:gd name="T56" fmla="+- 0 106 47"/>
                                <a:gd name="T57" fmla="*/ T56 w 289"/>
                                <a:gd name="T58" fmla="+- 0 264 37"/>
                                <a:gd name="T59" fmla="*/ 264 h 289"/>
                                <a:gd name="T60" fmla="+- 0 74 47"/>
                                <a:gd name="T61" fmla="*/ T60 w 289"/>
                                <a:gd name="T62" fmla="+- 0 194 37"/>
                                <a:gd name="T63" fmla="*/ 194 h 289"/>
                                <a:gd name="T64" fmla="+- 0 73 47"/>
                                <a:gd name="T65" fmla="*/ T64 w 289"/>
                                <a:gd name="T66" fmla="+- 0 170 37"/>
                                <a:gd name="T67" fmla="*/ 170 h 289"/>
                                <a:gd name="T68" fmla="+- 0 77 47"/>
                                <a:gd name="T69" fmla="*/ T68 w 289"/>
                                <a:gd name="T70" fmla="+- 0 150 37"/>
                                <a:gd name="T71" fmla="*/ 150 h 289"/>
                                <a:gd name="T72" fmla="+- 0 108 47"/>
                                <a:gd name="T73" fmla="*/ T72 w 289"/>
                                <a:gd name="T74" fmla="+- 0 98 37"/>
                                <a:gd name="T75" fmla="*/ 98 h 289"/>
                                <a:gd name="T76" fmla="+- 0 181 47"/>
                                <a:gd name="T77" fmla="*/ T76 w 289"/>
                                <a:gd name="T78" fmla="+- 0 65 37"/>
                                <a:gd name="T79" fmla="*/ 65 h 289"/>
                                <a:gd name="T80" fmla="+- 0 206 47"/>
                                <a:gd name="T81" fmla="*/ T80 w 289"/>
                                <a:gd name="T82" fmla="+- 0 64 37"/>
                                <a:gd name="T83" fmla="*/ 64 h 289"/>
                                <a:gd name="T84" fmla="+- 0 276 47"/>
                                <a:gd name="T85" fmla="*/ T84 w 289"/>
                                <a:gd name="T86" fmla="+- 0 64 37"/>
                                <a:gd name="T87" fmla="*/ 64 h 289"/>
                                <a:gd name="T88" fmla="+- 0 276 47"/>
                                <a:gd name="T89" fmla="*/ T88 w 289"/>
                                <a:gd name="T90" fmla="+- 0 63 37"/>
                                <a:gd name="T91" fmla="*/ 63 h 289"/>
                                <a:gd name="T92" fmla="+- 0 260 47"/>
                                <a:gd name="T93" fmla="*/ T92 w 289"/>
                                <a:gd name="T94" fmla="+- 0 54 37"/>
                                <a:gd name="T95" fmla="*/ 54 h 289"/>
                                <a:gd name="T96" fmla="+- 0 243 47"/>
                                <a:gd name="T97" fmla="*/ T96 w 289"/>
                                <a:gd name="T98" fmla="+- 0 46 37"/>
                                <a:gd name="T99" fmla="*/ 46 h 289"/>
                                <a:gd name="T100" fmla="+- 0 223 47"/>
                                <a:gd name="T101" fmla="*/ T100 w 289"/>
                                <a:gd name="T102" fmla="+- 0 41 37"/>
                                <a:gd name="T103" fmla="*/ 41 h 289"/>
                                <a:gd name="T104" fmla="+- 0 201 47"/>
                                <a:gd name="T105" fmla="*/ T104 w 289"/>
                                <a:gd name="T106" fmla="+- 0 38 37"/>
                                <a:gd name="T107" fmla="*/ 38 h 289"/>
                                <a:gd name="T108" fmla="+- 0 176 47"/>
                                <a:gd name="T109" fmla="*/ T108 w 289"/>
                                <a:gd name="T110" fmla="+- 0 37 37"/>
                                <a:gd name="T111" fmla="*/ 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9" y="0"/>
                                  </a:moveTo>
                                  <a:lnTo>
                                    <a:pt x="55" y="31"/>
                                  </a:lnTo>
                                  <a:lnTo>
                                    <a:pt x="9" y="94"/>
                                  </a:lnTo>
                                  <a:lnTo>
                                    <a:pt x="0" y="159"/>
                                  </a:lnTo>
                                  <a:lnTo>
                                    <a:pt x="3" y="179"/>
                                  </a:lnTo>
                                  <a:lnTo>
                                    <a:pt x="30" y="233"/>
                                  </a:lnTo>
                                  <a:lnTo>
                                    <a:pt x="92" y="280"/>
                                  </a:lnTo>
                                  <a:lnTo>
                                    <a:pt x="158" y="289"/>
                                  </a:lnTo>
                                  <a:lnTo>
                                    <a:pt x="178" y="286"/>
                                  </a:lnTo>
                                  <a:lnTo>
                                    <a:pt x="197" y="280"/>
                                  </a:lnTo>
                                  <a:lnTo>
                                    <a:pt x="215" y="271"/>
                                  </a:lnTo>
                                  <a:lnTo>
                                    <a:pt x="228" y="263"/>
                                  </a:lnTo>
                                  <a:lnTo>
                                    <a:pt x="132" y="263"/>
                                  </a:lnTo>
                                  <a:lnTo>
                                    <a:pt x="112" y="259"/>
                                  </a:lnTo>
                                  <a:lnTo>
                                    <a:pt x="59" y="227"/>
                                  </a:lnTo>
                                  <a:lnTo>
                                    <a:pt x="27" y="157"/>
                                  </a:lnTo>
                                  <a:lnTo>
                                    <a:pt x="26" y="133"/>
                                  </a:lnTo>
                                  <a:lnTo>
                                    <a:pt x="30" y="113"/>
                                  </a:lnTo>
                                  <a:lnTo>
                                    <a:pt x="61" y="61"/>
                                  </a:lnTo>
                                  <a:lnTo>
                                    <a:pt x="134" y="28"/>
                                  </a:lnTo>
                                  <a:lnTo>
                                    <a:pt x="159" y="27"/>
                                  </a:lnTo>
                                  <a:lnTo>
                                    <a:pt x="229" y="27"/>
                                  </a:lnTo>
                                  <a:lnTo>
                                    <a:pt x="229" y="26"/>
                                  </a:lnTo>
                                  <a:lnTo>
                                    <a:pt x="213" y="17"/>
                                  </a:lnTo>
                                  <a:lnTo>
                                    <a:pt x="196" y="9"/>
                                  </a:lnTo>
                                  <a:lnTo>
                                    <a:pt x="176" y="4"/>
                                  </a:lnTo>
                                  <a:lnTo>
                                    <a:pt x="154" y="1"/>
                                  </a:lnTo>
                                  <a:lnTo>
                                    <a:pt x="1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4" name="Freeform 56"/>
                          <wps:cNvSpPr>
                            <a:spLocks/>
                          </wps:cNvSpPr>
                          <wps:spPr bwMode="auto">
                            <a:xfrm>
                              <a:off x="47" y="37"/>
                              <a:ext cx="289" cy="289"/>
                            </a:xfrm>
                            <a:custGeom>
                              <a:avLst/>
                              <a:gdLst>
                                <a:gd name="T0" fmla="+- 0 276 47"/>
                                <a:gd name="T1" fmla="*/ T0 w 289"/>
                                <a:gd name="T2" fmla="+- 0 64 37"/>
                                <a:gd name="T3" fmla="*/ 64 h 289"/>
                                <a:gd name="T4" fmla="+- 0 206 47"/>
                                <a:gd name="T5" fmla="*/ T4 w 289"/>
                                <a:gd name="T6" fmla="+- 0 64 37"/>
                                <a:gd name="T7" fmla="*/ 64 h 289"/>
                                <a:gd name="T8" fmla="+- 0 226 47"/>
                                <a:gd name="T9" fmla="*/ T8 w 289"/>
                                <a:gd name="T10" fmla="+- 0 68 37"/>
                                <a:gd name="T11" fmla="*/ 68 h 289"/>
                                <a:gd name="T12" fmla="+- 0 244 47"/>
                                <a:gd name="T13" fmla="*/ T12 w 289"/>
                                <a:gd name="T14" fmla="+- 0 75 37"/>
                                <a:gd name="T15" fmla="*/ 75 h 289"/>
                                <a:gd name="T16" fmla="+- 0 290 47"/>
                                <a:gd name="T17" fmla="*/ T16 w 289"/>
                                <a:gd name="T18" fmla="+- 0 115 37"/>
                                <a:gd name="T19" fmla="*/ 115 h 289"/>
                                <a:gd name="T20" fmla="+- 0 308 47"/>
                                <a:gd name="T21" fmla="*/ T20 w 289"/>
                                <a:gd name="T22" fmla="+- 0 172 37"/>
                                <a:gd name="T23" fmla="*/ 172 h 289"/>
                                <a:gd name="T24" fmla="+- 0 309 47"/>
                                <a:gd name="T25" fmla="*/ T24 w 289"/>
                                <a:gd name="T26" fmla="+- 0 194 37"/>
                                <a:gd name="T27" fmla="*/ 194 h 289"/>
                                <a:gd name="T28" fmla="+- 0 309 47"/>
                                <a:gd name="T29" fmla="*/ T28 w 289"/>
                                <a:gd name="T30" fmla="+- 0 196 37"/>
                                <a:gd name="T31" fmla="*/ 196 h 289"/>
                                <a:gd name="T32" fmla="+- 0 273 47"/>
                                <a:gd name="T33" fmla="*/ T32 w 289"/>
                                <a:gd name="T34" fmla="+- 0 267 37"/>
                                <a:gd name="T35" fmla="*/ 267 h 289"/>
                                <a:gd name="T36" fmla="+- 0 203 47"/>
                                <a:gd name="T37" fmla="*/ T36 w 289"/>
                                <a:gd name="T38" fmla="+- 0 299 37"/>
                                <a:gd name="T39" fmla="*/ 299 h 289"/>
                                <a:gd name="T40" fmla="+- 0 179 47"/>
                                <a:gd name="T41" fmla="*/ T40 w 289"/>
                                <a:gd name="T42" fmla="+- 0 300 37"/>
                                <a:gd name="T43" fmla="*/ 300 h 289"/>
                                <a:gd name="T44" fmla="+- 0 275 47"/>
                                <a:gd name="T45" fmla="*/ T44 w 289"/>
                                <a:gd name="T46" fmla="+- 0 300 37"/>
                                <a:gd name="T47" fmla="*/ 300 h 289"/>
                                <a:gd name="T48" fmla="+- 0 318 47"/>
                                <a:gd name="T49" fmla="*/ T48 w 289"/>
                                <a:gd name="T50" fmla="+- 0 253 37"/>
                                <a:gd name="T51" fmla="*/ 253 h 289"/>
                                <a:gd name="T52" fmla="+- 0 335 47"/>
                                <a:gd name="T53" fmla="*/ T52 w 289"/>
                                <a:gd name="T54" fmla="+- 0 194 37"/>
                                <a:gd name="T55" fmla="*/ 194 h 289"/>
                                <a:gd name="T56" fmla="+- 0 336 47"/>
                                <a:gd name="T57" fmla="*/ T56 w 289"/>
                                <a:gd name="T58" fmla="+- 0 170 37"/>
                                <a:gd name="T59" fmla="*/ 170 h 289"/>
                                <a:gd name="T60" fmla="+- 0 333 47"/>
                                <a:gd name="T61" fmla="*/ T60 w 289"/>
                                <a:gd name="T62" fmla="+- 0 149 37"/>
                                <a:gd name="T63" fmla="*/ 149 h 289"/>
                                <a:gd name="T64" fmla="+- 0 294 47"/>
                                <a:gd name="T65" fmla="*/ T64 w 289"/>
                                <a:gd name="T66" fmla="+- 0 79 37"/>
                                <a:gd name="T67" fmla="*/ 79 h 289"/>
                                <a:gd name="T68" fmla="+- 0 290 47"/>
                                <a:gd name="T69" fmla="*/ T68 w 289"/>
                                <a:gd name="T70" fmla="+- 0 75 37"/>
                                <a:gd name="T71" fmla="*/ 75 h 289"/>
                                <a:gd name="T72" fmla="+- 0 276 47"/>
                                <a:gd name="T73" fmla="*/ T72 w 289"/>
                                <a:gd name="T74" fmla="+- 0 64 37"/>
                                <a:gd name="T75" fmla="*/ 6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7"/>
                                  </a:moveTo>
                                  <a:lnTo>
                                    <a:pt x="159" y="27"/>
                                  </a:lnTo>
                                  <a:lnTo>
                                    <a:pt x="179" y="31"/>
                                  </a:lnTo>
                                  <a:lnTo>
                                    <a:pt x="197" y="38"/>
                                  </a:lnTo>
                                  <a:lnTo>
                                    <a:pt x="243" y="78"/>
                                  </a:lnTo>
                                  <a:lnTo>
                                    <a:pt x="261" y="135"/>
                                  </a:lnTo>
                                  <a:lnTo>
                                    <a:pt x="262" y="157"/>
                                  </a:lnTo>
                                  <a:lnTo>
                                    <a:pt x="262" y="159"/>
                                  </a:lnTo>
                                  <a:lnTo>
                                    <a:pt x="226" y="230"/>
                                  </a:lnTo>
                                  <a:lnTo>
                                    <a:pt x="156" y="262"/>
                                  </a:lnTo>
                                  <a:lnTo>
                                    <a:pt x="132" y="263"/>
                                  </a:lnTo>
                                  <a:lnTo>
                                    <a:pt x="228" y="263"/>
                                  </a:lnTo>
                                  <a:lnTo>
                                    <a:pt x="271" y="216"/>
                                  </a:lnTo>
                                  <a:lnTo>
                                    <a:pt x="288" y="157"/>
                                  </a:lnTo>
                                  <a:lnTo>
                                    <a:pt x="289" y="133"/>
                                  </a:lnTo>
                                  <a:lnTo>
                                    <a:pt x="286" y="112"/>
                                  </a:lnTo>
                                  <a:lnTo>
                                    <a:pt x="247" y="42"/>
                                  </a:lnTo>
                                  <a:lnTo>
                                    <a:pt x="243" y="38"/>
                                  </a:lnTo>
                                  <a:lnTo>
                                    <a:pt x="229"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5" name="Freeform 57"/>
                          <wps:cNvSpPr>
                            <a:spLocks/>
                          </wps:cNvSpPr>
                          <wps:spPr bwMode="auto">
                            <a:xfrm>
                              <a:off x="47" y="37"/>
                              <a:ext cx="289" cy="289"/>
                            </a:xfrm>
                            <a:custGeom>
                              <a:avLst/>
                              <a:gdLst>
                                <a:gd name="T0" fmla="+- 0 151 47"/>
                                <a:gd name="T1" fmla="*/ T0 w 289"/>
                                <a:gd name="T2" fmla="+- 0 137 37"/>
                                <a:gd name="T3" fmla="*/ 137 h 289"/>
                                <a:gd name="T4" fmla="+- 0 139 47"/>
                                <a:gd name="T5" fmla="*/ T4 w 289"/>
                                <a:gd name="T6" fmla="+- 0 137 37"/>
                                <a:gd name="T7" fmla="*/ 137 h 289"/>
                                <a:gd name="T8" fmla="+- 0 129 47"/>
                                <a:gd name="T9" fmla="*/ T8 w 289"/>
                                <a:gd name="T10" fmla="+- 0 141 37"/>
                                <a:gd name="T11" fmla="*/ 141 h 289"/>
                                <a:gd name="T12" fmla="+- 0 113 47"/>
                                <a:gd name="T13" fmla="*/ T12 w 289"/>
                                <a:gd name="T14" fmla="+- 0 157 37"/>
                                <a:gd name="T15" fmla="*/ 157 h 289"/>
                                <a:gd name="T16" fmla="+- 0 109 47"/>
                                <a:gd name="T17" fmla="*/ T16 w 289"/>
                                <a:gd name="T18" fmla="+- 0 168 37"/>
                                <a:gd name="T19" fmla="*/ 168 h 289"/>
                                <a:gd name="T20" fmla="+- 0 109 47"/>
                                <a:gd name="T21" fmla="*/ T20 w 289"/>
                                <a:gd name="T22" fmla="+- 0 196 37"/>
                                <a:gd name="T23" fmla="*/ 196 h 289"/>
                                <a:gd name="T24" fmla="+- 0 113 47"/>
                                <a:gd name="T25" fmla="*/ T24 w 289"/>
                                <a:gd name="T26" fmla="+- 0 207 37"/>
                                <a:gd name="T27" fmla="*/ 207 h 289"/>
                                <a:gd name="T28" fmla="+- 0 128 47"/>
                                <a:gd name="T29" fmla="*/ T28 w 289"/>
                                <a:gd name="T30" fmla="+- 0 223 37"/>
                                <a:gd name="T31" fmla="*/ 223 h 289"/>
                                <a:gd name="T32" fmla="+- 0 139 47"/>
                                <a:gd name="T33" fmla="*/ T32 w 289"/>
                                <a:gd name="T34" fmla="+- 0 227 37"/>
                                <a:gd name="T35" fmla="*/ 227 h 289"/>
                                <a:gd name="T36" fmla="+- 0 157 47"/>
                                <a:gd name="T37" fmla="*/ T36 w 289"/>
                                <a:gd name="T38" fmla="+- 0 227 37"/>
                                <a:gd name="T39" fmla="*/ 227 h 289"/>
                                <a:gd name="T40" fmla="+- 0 176 47"/>
                                <a:gd name="T41" fmla="*/ T40 w 289"/>
                                <a:gd name="T42" fmla="+- 0 220 37"/>
                                <a:gd name="T43" fmla="*/ 220 h 289"/>
                                <a:gd name="T44" fmla="+- 0 187 47"/>
                                <a:gd name="T45" fmla="*/ T44 w 289"/>
                                <a:gd name="T46" fmla="+- 0 207 37"/>
                                <a:gd name="T47" fmla="*/ 207 h 289"/>
                                <a:gd name="T48" fmla="+- 0 141 47"/>
                                <a:gd name="T49" fmla="*/ T48 w 289"/>
                                <a:gd name="T50" fmla="+- 0 207 37"/>
                                <a:gd name="T51" fmla="*/ 207 h 289"/>
                                <a:gd name="T52" fmla="+- 0 135 47"/>
                                <a:gd name="T53" fmla="*/ T52 w 289"/>
                                <a:gd name="T54" fmla="+- 0 199 37"/>
                                <a:gd name="T55" fmla="*/ 199 h 289"/>
                                <a:gd name="T56" fmla="+- 0 135 47"/>
                                <a:gd name="T57" fmla="*/ T56 w 289"/>
                                <a:gd name="T58" fmla="+- 0 164 37"/>
                                <a:gd name="T59" fmla="*/ 164 h 289"/>
                                <a:gd name="T60" fmla="+- 0 141 47"/>
                                <a:gd name="T61" fmla="*/ T60 w 289"/>
                                <a:gd name="T62" fmla="+- 0 156 37"/>
                                <a:gd name="T63" fmla="*/ 156 h 289"/>
                                <a:gd name="T64" fmla="+- 0 186 47"/>
                                <a:gd name="T65" fmla="*/ T64 w 289"/>
                                <a:gd name="T66" fmla="+- 0 156 37"/>
                                <a:gd name="T67" fmla="*/ 156 h 289"/>
                                <a:gd name="T68" fmla="+- 0 187 47"/>
                                <a:gd name="T69" fmla="*/ T68 w 289"/>
                                <a:gd name="T70" fmla="+- 0 154 37"/>
                                <a:gd name="T71" fmla="*/ 154 h 289"/>
                                <a:gd name="T72" fmla="+- 0 172 47"/>
                                <a:gd name="T73" fmla="*/ T72 w 289"/>
                                <a:gd name="T74" fmla="+- 0 141 37"/>
                                <a:gd name="T75" fmla="*/ 141 h 289"/>
                                <a:gd name="T76" fmla="+- 0 151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100"/>
                                  </a:moveTo>
                                  <a:lnTo>
                                    <a:pt x="92" y="100"/>
                                  </a:lnTo>
                                  <a:lnTo>
                                    <a:pt x="82" y="104"/>
                                  </a:lnTo>
                                  <a:lnTo>
                                    <a:pt x="66" y="120"/>
                                  </a:lnTo>
                                  <a:lnTo>
                                    <a:pt x="62" y="131"/>
                                  </a:lnTo>
                                  <a:lnTo>
                                    <a:pt x="62" y="159"/>
                                  </a:lnTo>
                                  <a:lnTo>
                                    <a:pt x="66" y="170"/>
                                  </a:lnTo>
                                  <a:lnTo>
                                    <a:pt x="81" y="186"/>
                                  </a:lnTo>
                                  <a:lnTo>
                                    <a:pt x="92" y="190"/>
                                  </a:lnTo>
                                  <a:lnTo>
                                    <a:pt x="110" y="190"/>
                                  </a:lnTo>
                                  <a:lnTo>
                                    <a:pt x="129" y="183"/>
                                  </a:lnTo>
                                  <a:lnTo>
                                    <a:pt x="140" y="170"/>
                                  </a:lnTo>
                                  <a:lnTo>
                                    <a:pt x="94" y="170"/>
                                  </a:lnTo>
                                  <a:lnTo>
                                    <a:pt x="88" y="162"/>
                                  </a:lnTo>
                                  <a:lnTo>
                                    <a:pt x="88" y="127"/>
                                  </a:lnTo>
                                  <a:lnTo>
                                    <a:pt x="94" y="119"/>
                                  </a:lnTo>
                                  <a:lnTo>
                                    <a:pt x="139" y="119"/>
                                  </a:lnTo>
                                  <a:lnTo>
                                    <a:pt x="140" y="117"/>
                                  </a:lnTo>
                                  <a:lnTo>
                                    <a:pt x="125" y="104"/>
                                  </a:lnTo>
                                  <a:lnTo>
                                    <a:pt x="104"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6" name="Freeform 58"/>
                          <wps:cNvSpPr>
                            <a:spLocks/>
                          </wps:cNvSpPr>
                          <wps:spPr bwMode="auto">
                            <a:xfrm>
                              <a:off x="47" y="37"/>
                              <a:ext cx="289" cy="289"/>
                            </a:xfrm>
                            <a:custGeom>
                              <a:avLst/>
                              <a:gdLst>
                                <a:gd name="T0" fmla="+- 0 235 47"/>
                                <a:gd name="T1" fmla="*/ T0 w 289"/>
                                <a:gd name="T2" fmla="+- 0 137 37"/>
                                <a:gd name="T3" fmla="*/ 137 h 289"/>
                                <a:gd name="T4" fmla="+- 0 223 47"/>
                                <a:gd name="T5" fmla="*/ T4 w 289"/>
                                <a:gd name="T6" fmla="+- 0 137 37"/>
                                <a:gd name="T7" fmla="*/ 137 h 289"/>
                                <a:gd name="T8" fmla="+- 0 213 47"/>
                                <a:gd name="T9" fmla="*/ T8 w 289"/>
                                <a:gd name="T10" fmla="+- 0 141 37"/>
                                <a:gd name="T11" fmla="*/ 141 h 289"/>
                                <a:gd name="T12" fmla="+- 0 197 47"/>
                                <a:gd name="T13" fmla="*/ T12 w 289"/>
                                <a:gd name="T14" fmla="+- 0 157 37"/>
                                <a:gd name="T15" fmla="*/ 157 h 289"/>
                                <a:gd name="T16" fmla="+- 0 193 47"/>
                                <a:gd name="T17" fmla="*/ T16 w 289"/>
                                <a:gd name="T18" fmla="+- 0 168 37"/>
                                <a:gd name="T19" fmla="*/ 168 h 289"/>
                                <a:gd name="T20" fmla="+- 0 193 47"/>
                                <a:gd name="T21" fmla="*/ T20 w 289"/>
                                <a:gd name="T22" fmla="+- 0 196 37"/>
                                <a:gd name="T23" fmla="*/ 196 h 289"/>
                                <a:gd name="T24" fmla="+- 0 197 47"/>
                                <a:gd name="T25" fmla="*/ T24 w 289"/>
                                <a:gd name="T26" fmla="+- 0 207 37"/>
                                <a:gd name="T27" fmla="*/ 207 h 289"/>
                                <a:gd name="T28" fmla="+- 0 212 47"/>
                                <a:gd name="T29" fmla="*/ T28 w 289"/>
                                <a:gd name="T30" fmla="+- 0 223 37"/>
                                <a:gd name="T31" fmla="*/ 223 h 289"/>
                                <a:gd name="T32" fmla="+- 0 223 47"/>
                                <a:gd name="T33" fmla="*/ T32 w 289"/>
                                <a:gd name="T34" fmla="+- 0 227 37"/>
                                <a:gd name="T35" fmla="*/ 227 h 289"/>
                                <a:gd name="T36" fmla="+- 0 240 47"/>
                                <a:gd name="T37" fmla="*/ T36 w 289"/>
                                <a:gd name="T38" fmla="+- 0 227 37"/>
                                <a:gd name="T39" fmla="*/ 227 h 289"/>
                                <a:gd name="T40" fmla="+- 0 260 47"/>
                                <a:gd name="T41" fmla="*/ T40 w 289"/>
                                <a:gd name="T42" fmla="+- 0 220 37"/>
                                <a:gd name="T43" fmla="*/ 220 h 289"/>
                                <a:gd name="T44" fmla="+- 0 271 47"/>
                                <a:gd name="T45" fmla="*/ T44 w 289"/>
                                <a:gd name="T46" fmla="+- 0 207 37"/>
                                <a:gd name="T47" fmla="*/ 207 h 289"/>
                                <a:gd name="T48" fmla="+- 0 225 47"/>
                                <a:gd name="T49" fmla="*/ T48 w 289"/>
                                <a:gd name="T50" fmla="+- 0 207 37"/>
                                <a:gd name="T51" fmla="*/ 207 h 289"/>
                                <a:gd name="T52" fmla="+- 0 218 47"/>
                                <a:gd name="T53" fmla="*/ T52 w 289"/>
                                <a:gd name="T54" fmla="+- 0 199 37"/>
                                <a:gd name="T55" fmla="*/ 199 h 289"/>
                                <a:gd name="T56" fmla="+- 0 218 47"/>
                                <a:gd name="T57" fmla="*/ T56 w 289"/>
                                <a:gd name="T58" fmla="+- 0 164 37"/>
                                <a:gd name="T59" fmla="*/ 164 h 289"/>
                                <a:gd name="T60" fmla="+- 0 225 47"/>
                                <a:gd name="T61" fmla="*/ T60 w 289"/>
                                <a:gd name="T62" fmla="+- 0 156 37"/>
                                <a:gd name="T63" fmla="*/ 156 h 289"/>
                                <a:gd name="T64" fmla="+- 0 269 47"/>
                                <a:gd name="T65" fmla="*/ T64 w 289"/>
                                <a:gd name="T66" fmla="+- 0 156 37"/>
                                <a:gd name="T67" fmla="*/ 156 h 289"/>
                                <a:gd name="T68" fmla="+- 0 271 47"/>
                                <a:gd name="T69" fmla="*/ T68 w 289"/>
                                <a:gd name="T70" fmla="+- 0 154 37"/>
                                <a:gd name="T71" fmla="*/ 154 h 289"/>
                                <a:gd name="T72" fmla="+- 0 256 47"/>
                                <a:gd name="T73" fmla="*/ T72 w 289"/>
                                <a:gd name="T74" fmla="+- 0 141 37"/>
                                <a:gd name="T75" fmla="*/ 141 h 289"/>
                                <a:gd name="T76" fmla="+- 0 235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100"/>
                                  </a:moveTo>
                                  <a:lnTo>
                                    <a:pt x="176" y="100"/>
                                  </a:lnTo>
                                  <a:lnTo>
                                    <a:pt x="166" y="104"/>
                                  </a:lnTo>
                                  <a:lnTo>
                                    <a:pt x="150" y="120"/>
                                  </a:lnTo>
                                  <a:lnTo>
                                    <a:pt x="146" y="131"/>
                                  </a:lnTo>
                                  <a:lnTo>
                                    <a:pt x="146" y="159"/>
                                  </a:lnTo>
                                  <a:lnTo>
                                    <a:pt x="150" y="170"/>
                                  </a:lnTo>
                                  <a:lnTo>
                                    <a:pt x="165" y="186"/>
                                  </a:lnTo>
                                  <a:lnTo>
                                    <a:pt x="176" y="190"/>
                                  </a:lnTo>
                                  <a:lnTo>
                                    <a:pt x="193" y="190"/>
                                  </a:lnTo>
                                  <a:lnTo>
                                    <a:pt x="213" y="183"/>
                                  </a:lnTo>
                                  <a:lnTo>
                                    <a:pt x="224" y="170"/>
                                  </a:lnTo>
                                  <a:lnTo>
                                    <a:pt x="178" y="170"/>
                                  </a:lnTo>
                                  <a:lnTo>
                                    <a:pt x="171" y="162"/>
                                  </a:lnTo>
                                  <a:lnTo>
                                    <a:pt x="171" y="127"/>
                                  </a:lnTo>
                                  <a:lnTo>
                                    <a:pt x="178" y="119"/>
                                  </a:lnTo>
                                  <a:lnTo>
                                    <a:pt x="222" y="119"/>
                                  </a:lnTo>
                                  <a:lnTo>
                                    <a:pt x="224" y="117"/>
                                  </a:lnTo>
                                  <a:lnTo>
                                    <a:pt x="209" y="104"/>
                                  </a:lnTo>
                                  <a:lnTo>
                                    <a:pt x="188"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7" name="Freeform 59"/>
                          <wps:cNvSpPr>
                            <a:spLocks/>
                          </wps:cNvSpPr>
                          <wps:spPr bwMode="auto">
                            <a:xfrm>
                              <a:off x="47" y="37"/>
                              <a:ext cx="289" cy="289"/>
                            </a:xfrm>
                            <a:custGeom>
                              <a:avLst/>
                              <a:gdLst>
                                <a:gd name="T0" fmla="+- 0 172 47"/>
                                <a:gd name="T1" fmla="*/ T0 w 289"/>
                                <a:gd name="T2" fmla="+- 0 195 37"/>
                                <a:gd name="T3" fmla="*/ 195 h 289"/>
                                <a:gd name="T4" fmla="+- 0 169 47"/>
                                <a:gd name="T5" fmla="*/ T4 w 289"/>
                                <a:gd name="T6" fmla="+- 0 203 37"/>
                                <a:gd name="T7" fmla="*/ 203 h 289"/>
                                <a:gd name="T8" fmla="+- 0 163 47"/>
                                <a:gd name="T9" fmla="*/ T8 w 289"/>
                                <a:gd name="T10" fmla="+- 0 207 37"/>
                                <a:gd name="T11" fmla="*/ 207 h 289"/>
                                <a:gd name="T12" fmla="+- 0 187 47"/>
                                <a:gd name="T13" fmla="*/ T12 w 289"/>
                                <a:gd name="T14" fmla="+- 0 207 37"/>
                                <a:gd name="T15" fmla="*/ 207 h 289"/>
                                <a:gd name="T16" fmla="+- 0 190 47"/>
                                <a:gd name="T17" fmla="*/ T16 w 289"/>
                                <a:gd name="T18" fmla="+- 0 204 37"/>
                                <a:gd name="T19" fmla="*/ 204 h 289"/>
                                <a:gd name="T20" fmla="+- 0 172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125" y="158"/>
                                  </a:moveTo>
                                  <a:lnTo>
                                    <a:pt x="122" y="166"/>
                                  </a:lnTo>
                                  <a:lnTo>
                                    <a:pt x="116" y="170"/>
                                  </a:lnTo>
                                  <a:lnTo>
                                    <a:pt x="140" y="170"/>
                                  </a:lnTo>
                                  <a:lnTo>
                                    <a:pt x="143" y="167"/>
                                  </a:lnTo>
                                  <a:lnTo>
                                    <a:pt x="125"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8" name="Freeform 60"/>
                          <wps:cNvSpPr>
                            <a:spLocks/>
                          </wps:cNvSpPr>
                          <wps:spPr bwMode="auto">
                            <a:xfrm>
                              <a:off x="47" y="37"/>
                              <a:ext cx="289" cy="289"/>
                            </a:xfrm>
                            <a:custGeom>
                              <a:avLst/>
                              <a:gdLst>
                                <a:gd name="T0" fmla="+- 0 256 47"/>
                                <a:gd name="T1" fmla="*/ T0 w 289"/>
                                <a:gd name="T2" fmla="+- 0 195 37"/>
                                <a:gd name="T3" fmla="*/ 195 h 289"/>
                                <a:gd name="T4" fmla="+- 0 252 47"/>
                                <a:gd name="T5" fmla="*/ T4 w 289"/>
                                <a:gd name="T6" fmla="+- 0 203 37"/>
                                <a:gd name="T7" fmla="*/ 203 h 289"/>
                                <a:gd name="T8" fmla="+- 0 246 47"/>
                                <a:gd name="T9" fmla="*/ T8 w 289"/>
                                <a:gd name="T10" fmla="+- 0 207 37"/>
                                <a:gd name="T11" fmla="*/ 207 h 289"/>
                                <a:gd name="T12" fmla="+- 0 271 47"/>
                                <a:gd name="T13" fmla="*/ T12 w 289"/>
                                <a:gd name="T14" fmla="+- 0 207 37"/>
                                <a:gd name="T15" fmla="*/ 207 h 289"/>
                                <a:gd name="T16" fmla="+- 0 274 47"/>
                                <a:gd name="T17" fmla="*/ T16 w 289"/>
                                <a:gd name="T18" fmla="+- 0 204 37"/>
                                <a:gd name="T19" fmla="*/ 204 h 289"/>
                                <a:gd name="T20" fmla="+- 0 256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209" y="158"/>
                                  </a:moveTo>
                                  <a:lnTo>
                                    <a:pt x="205" y="166"/>
                                  </a:lnTo>
                                  <a:lnTo>
                                    <a:pt x="199" y="170"/>
                                  </a:lnTo>
                                  <a:lnTo>
                                    <a:pt x="224" y="170"/>
                                  </a:lnTo>
                                  <a:lnTo>
                                    <a:pt x="227" y="167"/>
                                  </a:lnTo>
                                  <a:lnTo>
                                    <a:pt x="209"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9" name="Freeform 61"/>
                          <wps:cNvSpPr>
                            <a:spLocks/>
                          </wps:cNvSpPr>
                          <wps:spPr bwMode="auto">
                            <a:xfrm>
                              <a:off x="47" y="37"/>
                              <a:ext cx="289" cy="289"/>
                            </a:xfrm>
                            <a:custGeom>
                              <a:avLst/>
                              <a:gdLst>
                                <a:gd name="T0" fmla="+- 0 186 47"/>
                                <a:gd name="T1" fmla="*/ T0 w 289"/>
                                <a:gd name="T2" fmla="+- 0 156 37"/>
                                <a:gd name="T3" fmla="*/ 156 h 289"/>
                                <a:gd name="T4" fmla="+- 0 161 47"/>
                                <a:gd name="T5" fmla="*/ T4 w 289"/>
                                <a:gd name="T6" fmla="+- 0 156 37"/>
                                <a:gd name="T7" fmla="*/ 156 h 289"/>
                                <a:gd name="T8" fmla="+- 0 167 47"/>
                                <a:gd name="T9" fmla="*/ T8 w 289"/>
                                <a:gd name="T10" fmla="+- 0 160 37"/>
                                <a:gd name="T11" fmla="*/ 160 h 289"/>
                                <a:gd name="T12" fmla="+- 0 170 47"/>
                                <a:gd name="T13" fmla="*/ T12 w 289"/>
                                <a:gd name="T14" fmla="+- 0 168 37"/>
                                <a:gd name="T15" fmla="*/ 168 h 289"/>
                                <a:gd name="T16" fmla="+- 0 186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139" y="119"/>
                                  </a:moveTo>
                                  <a:lnTo>
                                    <a:pt x="114" y="119"/>
                                  </a:lnTo>
                                  <a:lnTo>
                                    <a:pt x="120" y="123"/>
                                  </a:lnTo>
                                  <a:lnTo>
                                    <a:pt x="123" y="131"/>
                                  </a:lnTo>
                                  <a:lnTo>
                                    <a:pt x="139"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0" name="Freeform 62"/>
                          <wps:cNvSpPr>
                            <a:spLocks/>
                          </wps:cNvSpPr>
                          <wps:spPr bwMode="auto">
                            <a:xfrm>
                              <a:off x="47" y="37"/>
                              <a:ext cx="289" cy="289"/>
                            </a:xfrm>
                            <a:custGeom>
                              <a:avLst/>
                              <a:gdLst>
                                <a:gd name="T0" fmla="+- 0 269 47"/>
                                <a:gd name="T1" fmla="*/ T0 w 289"/>
                                <a:gd name="T2" fmla="+- 0 156 37"/>
                                <a:gd name="T3" fmla="*/ 156 h 289"/>
                                <a:gd name="T4" fmla="+- 0 245 47"/>
                                <a:gd name="T5" fmla="*/ T4 w 289"/>
                                <a:gd name="T6" fmla="+- 0 156 37"/>
                                <a:gd name="T7" fmla="*/ 156 h 289"/>
                                <a:gd name="T8" fmla="+- 0 250 47"/>
                                <a:gd name="T9" fmla="*/ T8 w 289"/>
                                <a:gd name="T10" fmla="+- 0 160 37"/>
                                <a:gd name="T11" fmla="*/ 160 h 289"/>
                                <a:gd name="T12" fmla="+- 0 254 47"/>
                                <a:gd name="T13" fmla="*/ T12 w 289"/>
                                <a:gd name="T14" fmla="+- 0 168 37"/>
                                <a:gd name="T15" fmla="*/ 168 h 289"/>
                                <a:gd name="T16" fmla="+- 0 269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222" y="119"/>
                                  </a:moveTo>
                                  <a:lnTo>
                                    <a:pt x="198" y="119"/>
                                  </a:lnTo>
                                  <a:lnTo>
                                    <a:pt x="203" y="123"/>
                                  </a:lnTo>
                                  <a:lnTo>
                                    <a:pt x="207" y="131"/>
                                  </a:lnTo>
                                  <a:lnTo>
                                    <a:pt x="222"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1" name="Group 63"/>
                        <wpg:cNvGrpSpPr>
                          <a:grpSpLocks/>
                        </wpg:cNvGrpSpPr>
                        <wpg:grpSpPr bwMode="auto">
                          <a:xfrm>
                            <a:off x="608" y="42"/>
                            <a:ext cx="200" cy="200"/>
                            <a:chOff x="608" y="42"/>
                            <a:chExt cx="200" cy="200"/>
                          </a:xfrm>
                        </wpg:grpSpPr>
                        <wps:wsp>
                          <wps:cNvPr id="18452" name="Freeform 64"/>
                          <wps:cNvSpPr>
                            <a:spLocks/>
                          </wps:cNvSpPr>
                          <wps:spPr bwMode="auto">
                            <a:xfrm>
                              <a:off x="608" y="42"/>
                              <a:ext cx="200" cy="200"/>
                            </a:xfrm>
                            <a:custGeom>
                              <a:avLst/>
                              <a:gdLst>
                                <a:gd name="T0" fmla="+- 0 707 608"/>
                                <a:gd name="T1" fmla="*/ T0 w 200"/>
                                <a:gd name="T2" fmla="+- 0 42 42"/>
                                <a:gd name="T3" fmla="*/ 42 h 200"/>
                                <a:gd name="T4" fmla="+- 0 644 608"/>
                                <a:gd name="T5" fmla="*/ T4 w 200"/>
                                <a:gd name="T6" fmla="+- 0 65 42"/>
                                <a:gd name="T7" fmla="*/ 65 h 200"/>
                                <a:gd name="T8" fmla="+- 0 610 608"/>
                                <a:gd name="T9" fmla="*/ T8 w 200"/>
                                <a:gd name="T10" fmla="+- 0 120 42"/>
                                <a:gd name="T11" fmla="*/ 120 h 200"/>
                                <a:gd name="T12" fmla="+- 0 608 608"/>
                                <a:gd name="T13" fmla="*/ T12 w 200"/>
                                <a:gd name="T14" fmla="+- 0 143 42"/>
                                <a:gd name="T15" fmla="*/ 143 h 200"/>
                                <a:gd name="T16" fmla="+- 0 611 608"/>
                                <a:gd name="T17" fmla="*/ T16 w 200"/>
                                <a:gd name="T18" fmla="+- 0 166 42"/>
                                <a:gd name="T19" fmla="*/ 166 h 200"/>
                                <a:gd name="T20" fmla="+- 0 646 608"/>
                                <a:gd name="T21" fmla="*/ T20 w 200"/>
                                <a:gd name="T22" fmla="+- 0 219 42"/>
                                <a:gd name="T23" fmla="*/ 219 h 200"/>
                                <a:gd name="T24" fmla="+- 0 709 608"/>
                                <a:gd name="T25" fmla="*/ T24 w 200"/>
                                <a:gd name="T26" fmla="+- 0 241 42"/>
                                <a:gd name="T27" fmla="*/ 241 h 200"/>
                                <a:gd name="T28" fmla="+- 0 731 608"/>
                                <a:gd name="T29" fmla="*/ T28 w 200"/>
                                <a:gd name="T30" fmla="+- 0 238 42"/>
                                <a:gd name="T31" fmla="*/ 238 h 200"/>
                                <a:gd name="T32" fmla="+- 0 785 608"/>
                                <a:gd name="T33" fmla="*/ T32 w 200"/>
                                <a:gd name="T34" fmla="+- 0 203 42"/>
                                <a:gd name="T35" fmla="*/ 203 h 200"/>
                                <a:gd name="T36" fmla="+- 0 807 608"/>
                                <a:gd name="T37" fmla="*/ T36 w 200"/>
                                <a:gd name="T38" fmla="+- 0 140 42"/>
                                <a:gd name="T39" fmla="*/ 140 h 200"/>
                                <a:gd name="T40" fmla="+- 0 804 608"/>
                                <a:gd name="T41" fmla="*/ T40 w 200"/>
                                <a:gd name="T42" fmla="+- 0 118 42"/>
                                <a:gd name="T43" fmla="*/ 118 h 200"/>
                                <a:gd name="T44" fmla="+- 0 769 608"/>
                                <a:gd name="T45" fmla="*/ T44 w 200"/>
                                <a:gd name="T46" fmla="+- 0 63 42"/>
                                <a:gd name="T47" fmla="*/ 63 h 200"/>
                                <a:gd name="T48" fmla="+- 0 707 608"/>
                                <a:gd name="T49" fmla="*/ T48 w 200"/>
                                <a:gd name="T50" fmla="+- 0 42 42"/>
                                <a:gd name="T51"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99" y="0"/>
                                  </a:moveTo>
                                  <a:lnTo>
                                    <a:pt x="36" y="23"/>
                                  </a:lnTo>
                                  <a:lnTo>
                                    <a:pt x="2" y="78"/>
                                  </a:lnTo>
                                  <a:lnTo>
                                    <a:pt x="0" y="101"/>
                                  </a:lnTo>
                                  <a:lnTo>
                                    <a:pt x="3" y="124"/>
                                  </a:lnTo>
                                  <a:lnTo>
                                    <a:pt x="38" y="177"/>
                                  </a:lnTo>
                                  <a:lnTo>
                                    <a:pt x="101" y="199"/>
                                  </a:lnTo>
                                  <a:lnTo>
                                    <a:pt x="123" y="196"/>
                                  </a:lnTo>
                                  <a:lnTo>
                                    <a:pt x="177" y="161"/>
                                  </a:lnTo>
                                  <a:lnTo>
                                    <a:pt x="199" y="98"/>
                                  </a:lnTo>
                                  <a:lnTo>
                                    <a:pt x="196" y="76"/>
                                  </a:lnTo>
                                  <a:lnTo>
                                    <a:pt x="161" y="2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3" name="Group 65"/>
                        <wpg:cNvGrpSpPr>
                          <a:grpSpLocks/>
                        </wpg:cNvGrpSpPr>
                        <wpg:grpSpPr bwMode="auto">
                          <a:xfrm>
                            <a:off x="678" y="105"/>
                            <a:ext cx="58" cy="103"/>
                            <a:chOff x="678" y="105"/>
                            <a:chExt cx="58" cy="103"/>
                          </a:xfrm>
                        </wpg:grpSpPr>
                        <wps:wsp>
                          <wps:cNvPr id="18454" name="Freeform 66"/>
                          <wps:cNvSpPr>
                            <a:spLocks/>
                          </wps:cNvSpPr>
                          <wps:spPr bwMode="auto">
                            <a:xfrm>
                              <a:off x="678" y="105"/>
                              <a:ext cx="58" cy="103"/>
                            </a:xfrm>
                            <a:custGeom>
                              <a:avLst/>
                              <a:gdLst>
                                <a:gd name="T0" fmla="+- 0 724 678"/>
                                <a:gd name="T1" fmla="*/ T0 w 58"/>
                                <a:gd name="T2" fmla="+- 0 156 105"/>
                                <a:gd name="T3" fmla="*/ 156 h 103"/>
                                <a:gd name="T4" fmla="+- 0 690 678"/>
                                <a:gd name="T5" fmla="*/ T4 w 58"/>
                                <a:gd name="T6" fmla="+- 0 156 105"/>
                                <a:gd name="T7" fmla="*/ 156 h 103"/>
                                <a:gd name="T8" fmla="+- 0 690 678"/>
                                <a:gd name="T9" fmla="*/ T8 w 58"/>
                                <a:gd name="T10" fmla="+- 0 208 105"/>
                                <a:gd name="T11" fmla="*/ 208 h 103"/>
                                <a:gd name="T12" fmla="+- 0 724 678"/>
                                <a:gd name="T13" fmla="*/ T12 w 58"/>
                                <a:gd name="T14" fmla="+- 0 208 105"/>
                                <a:gd name="T15" fmla="*/ 208 h 103"/>
                                <a:gd name="T16" fmla="+- 0 724 678"/>
                                <a:gd name="T17" fmla="*/ T16 w 58"/>
                                <a:gd name="T18" fmla="+- 0 156 105"/>
                                <a:gd name="T19" fmla="*/ 156 h 103"/>
                              </a:gdLst>
                              <a:ahLst/>
                              <a:cxnLst>
                                <a:cxn ang="0">
                                  <a:pos x="T1" y="T3"/>
                                </a:cxn>
                                <a:cxn ang="0">
                                  <a:pos x="T5" y="T7"/>
                                </a:cxn>
                                <a:cxn ang="0">
                                  <a:pos x="T9" y="T11"/>
                                </a:cxn>
                                <a:cxn ang="0">
                                  <a:pos x="T13" y="T15"/>
                                </a:cxn>
                                <a:cxn ang="0">
                                  <a:pos x="T17" y="T19"/>
                                </a:cxn>
                              </a:cxnLst>
                              <a:rect l="0" t="0" r="r" b="b"/>
                              <a:pathLst>
                                <a:path w="58" h="103">
                                  <a:moveTo>
                                    <a:pt x="46" y="51"/>
                                  </a:moveTo>
                                  <a:lnTo>
                                    <a:pt x="12" y="51"/>
                                  </a:lnTo>
                                  <a:lnTo>
                                    <a:pt x="12" y="103"/>
                                  </a:lnTo>
                                  <a:lnTo>
                                    <a:pt x="46" y="103"/>
                                  </a:lnTo>
                                  <a:lnTo>
                                    <a:pt x="46"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5" name="Freeform 67"/>
                          <wps:cNvSpPr>
                            <a:spLocks/>
                          </wps:cNvSpPr>
                          <wps:spPr bwMode="auto">
                            <a:xfrm>
                              <a:off x="678" y="105"/>
                              <a:ext cx="58" cy="103"/>
                            </a:xfrm>
                            <a:custGeom>
                              <a:avLst/>
                              <a:gdLst>
                                <a:gd name="T0" fmla="+- 0 733 678"/>
                                <a:gd name="T1" fmla="*/ T0 w 58"/>
                                <a:gd name="T2" fmla="+- 0 105 105"/>
                                <a:gd name="T3" fmla="*/ 105 h 103"/>
                                <a:gd name="T4" fmla="+- 0 681 678"/>
                                <a:gd name="T5" fmla="*/ T4 w 58"/>
                                <a:gd name="T6" fmla="+- 0 105 105"/>
                                <a:gd name="T7" fmla="*/ 105 h 103"/>
                                <a:gd name="T8" fmla="+- 0 678 678"/>
                                <a:gd name="T9" fmla="*/ T8 w 58"/>
                                <a:gd name="T10" fmla="+- 0 108 105"/>
                                <a:gd name="T11" fmla="*/ 108 h 103"/>
                                <a:gd name="T12" fmla="+- 0 678 678"/>
                                <a:gd name="T13" fmla="*/ T12 w 58"/>
                                <a:gd name="T14" fmla="+- 0 156 105"/>
                                <a:gd name="T15" fmla="*/ 156 h 103"/>
                                <a:gd name="T16" fmla="+- 0 736 678"/>
                                <a:gd name="T17" fmla="*/ T16 w 58"/>
                                <a:gd name="T18" fmla="+- 0 156 105"/>
                                <a:gd name="T19" fmla="*/ 156 h 103"/>
                                <a:gd name="T20" fmla="+- 0 736 678"/>
                                <a:gd name="T21" fmla="*/ T20 w 58"/>
                                <a:gd name="T22" fmla="+- 0 108 105"/>
                                <a:gd name="T23" fmla="*/ 108 h 103"/>
                                <a:gd name="T24" fmla="+- 0 733 678"/>
                                <a:gd name="T25" fmla="*/ T24 w 58"/>
                                <a:gd name="T26" fmla="+- 0 105 105"/>
                                <a:gd name="T27" fmla="*/ 105 h 103"/>
                              </a:gdLst>
                              <a:ahLst/>
                              <a:cxnLst>
                                <a:cxn ang="0">
                                  <a:pos x="T1" y="T3"/>
                                </a:cxn>
                                <a:cxn ang="0">
                                  <a:pos x="T5" y="T7"/>
                                </a:cxn>
                                <a:cxn ang="0">
                                  <a:pos x="T9" y="T11"/>
                                </a:cxn>
                                <a:cxn ang="0">
                                  <a:pos x="T13" y="T15"/>
                                </a:cxn>
                                <a:cxn ang="0">
                                  <a:pos x="T17" y="T19"/>
                                </a:cxn>
                                <a:cxn ang="0">
                                  <a:pos x="T21" y="T23"/>
                                </a:cxn>
                                <a:cxn ang="0">
                                  <a:pos x="T25" y="T27"/>
                                </a:cxn>
                              </a:cxnLst>
                              <a:rect l="0" t="0" r="r" b="b"/>
                              <a:pathLst>
                                <a:path w="58" h="103">
                                  <a:moveTo>
                                    <a:pt x="55" y="0"/>
                                  </a:moveTo>
                                  <a:lnTo>
                                    <a:pt x="3" y="0"/>
                                  </a:lnTo>
                                  <a:lnTo>
                                    <a:pt x="0" y="3"/>
                                  </a:lnTo>
                                  <a:lnTo>
                                    <a:pt x="0" y="51"/>
                                  </a:lnTo>
                                  <a:lnTo>
                                    <a:pt x="58" y="51"/>
                                  </a:lnTo>
                                  <a:lnTo>
                                    <a:pt x="58" y="3"/>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6" name="Group 68"/>
                        <wpg:cNvGrpSpPr>
                          <a:grpSpLocks/>
                        </wpg:cNvGrpSpPr>
                        <wpg:grpSpPr bwMode="auto">
                          <a:xfrm>
                            <a:off x="692" y="69"/>
                            <a:ext cx="31" cy="31"/>
                            <a:chOff x="692" y="69"/>
                            <a:chExt cx="31" cy="31"/>
                          </a:xfrm>
                        </wpg:grpSpPr>
                        <wps:wsp>
                          <wps:cNvPr id="18457" name="Freeform 69"/>
                          <wps:cNvSpPr>
                            <a:spLocks/>
                          </wps:cNvSpPr>
                          <wps:spPr bwMode="auto">
                            <a:xfrm>
                              <a:off x="692" y="69"/>
                              <a:ext cx="31" cy="31"/>
                            </a:xfrm>
                            <a:custGeom>
                              <a:avLst/>
                              <a:gdLst>
                                <a:gd name="T0" fmla="+- 0 715 692"/>
                                <a:gd name="T1" fmla="*/ T0 w 31"/>
                                <a:gd name="T2" fmla="+- 0 69 69"/>
                                <a:gd name="T3" fmla="*/ 69 h 31"/>
                                <a:gd name="T4" fmla="+- 0 699 692"/>
                                <a:gd name="T5" fmla="*/ T4 w 31"/>
                                <a:gd name="T6" fmla="+- 0 69 69"/>
                                <a:gd name="T7" fmla="*/ 69 h 31"/>
                                <a:gd name="T8" fmla="+- 0 692 692"/>
                                <a:gd name="T9" fmla="*/ T8 w 31"/>
                                <a:gd name="T10" fmla="+- 0 76 69"/>
                                <a:gd name="T11" fmla="*/ 76 h 31"/>
                                <a:gd name="T12" fmla="+- 0 692 692"/>
                                <a:gd name="T13" fmla="*/ T12 w 31"/>
                                <a:gd name="T14" fmla="+- 0 93 69"/>
                                <a:gd name="T15" fmla="*/ 93 h 31"/>
                                <a:gd name="T16" fmla="+- 0 699 692"/>
                                <a:gd name="T17" fmla="*/ T16 w 31"/>
                                <a:gd name="T18" fmla="+- 0 100 69"/>
                                <a:gd name="T19" fmla="*/ 100 h 31"/>
                                <a:gd name="T20" fmla="+- 0 715 692"/>
                                <a:gd name="T21" fmla="*/ T20 w 31"/>
                                <a:gd name="T22" fmla="+- 0 100 69"/>
                                <a:gd name="T23" fmla="*/ 100 h 31"/>
                                <a:gd name="T24" fmla="+- 0 722 692"/>
                                <a:gd name="T25" fmla="*/ T24 w 31"/>
                                <a:gd name="T26" fmla="+- 0 93 69"/>
                                <a:gd name="T27" fmla="*/ 93 h 31"/>
                                <a:gd name="T28" fmla="+- 0 722 692"/>
                                <a:gd name="T29" fmla="*/ T28 w 31"/>
                                <a:gd name="T30" fmla="+- 0 76 69"/>
                                <a:gd name="T31" fmla="*/ 76 h 31"/>
                                <a:gd name="T32" fmla="+- 0 715 692"/>
                                <a:gd name="T33" fmla="*/ T32 w 31"/>
                                <a:gd name="T34" fmla="+- 0 69 69"/>
                                <a:gd name="T35" fmla="*/ 6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7" y="0"/>
                                  </a:lnTo>
                                  <a:lnTo>
                                    <a:pt x="0" y="7"/>
                                  </a:lnTo>
                                  <a:lnTo>
                                    <a:pt x="0" y="24"/>
                                  </a:lnTo>
                                  <a:lnTo>
                                    <a:pt x="7" y="31"/>
                                  </a:lnTo>
                                  <a:lnTo>
                                    <a:pt x="23" y="31"/>
                                  </a:lnTo>
                                  <a:lnTo>
                                    <a:pt x="30" y="24"/>
                                  </a:lnTo>
                                  <a:lnTo>
                                    <a:pt x="30" y="7"/>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8" name="Group 70"/>
                        <wpg:cNvGrpSpPr>
                          <a:grpSpLocks/>
                        </wpg:cNvGrpSpPr>
                        <wpg:grpSpPr bwMode="auto">
                          <a:xfrm>
                            <a:off x="600" y="31"/>
                            <a:ext cx="215" cy="215"/>
                            <a:chOff x="600" y="31"/>
                            <a:chExt cx="215" cy="215"/>
                          </a:xfrm>
                        </wpg:grpSpPr>
                        <wps:wsp>
                          <wps:cNvPr id="18459" name="Freeform 71"/>
                          <wps:cNvSpPr>
                            <a:spLocks/>
                          </wps:cNvSpPr>
                          <wps:spPr bwMode="auto">
                            <a:xfrm>
                              <a:off x="600" y="31"/>
                              <a:ext cx="215" cy="215"/>
                            </a:xfrm>
                            <a:custGeom>
                              <a:avLst/>
                              <a:gdLst>
                                <a:gd name="T0" fmla="+- 0 707 600"/>
                                <a:gd name="T1" fmla="*/ T0 w 215"/>
                                <a:gd name="T2" fmla="+- 0 31 31"/>
                                <a:gd name="T3" fmla="*/ 31 h 215"/>
                                <a:gd name="T4" fmla="+- 0 649 600"/>
                                <a:gd name="T5" fmla="*/ T4 w 215"/>
                                <a:gd name="T6" fmla="+- 0 48 31"/>
                                <a:gd name="T7" fmla="*/ 48 h 215"/>
                                <a:gd name="T8" fmla="+- 0 609 600"/>
                                <a:gd name="T9" fmla="*/ T8 w 215"/>
                                <a:gd name="T10" fmla="+- 0 96 31"/>
                                <a:gd name="T11" fmla="*/ 96 h 215"/>
                                <a:gd name="T12" fmla="+- 0 600 600"/>
                                <a:gd name="T13" fmla="*/ T12 w 215"/>
                                <a:gd name="T14" fmla="+- 0 134 31"/>
                                <a:gd name="T15" fmla="*/ 134 h 215"/>
                                <a:gd name="T16" fmla="+- 0 601 600"/>
                                <a:gd name="T17" fmla="*/ T16 w 215"/>
                                <a:gd name="T18" fmla="+- 0 157 31"/>
                                <a:gd name="T19" fmla="*/ 157 h 215"/>
                                <a:gd name="T20" fmla="+- 0 644 600"/>
                                <a:gd name="T21" fmla="*/ T20 w 215"/>
                                <a:gd name="T22" fmla="+- 0 225 31"/>
                                <a:gd name="T23" fmla="*/ 225 h 215"/>
                                <a:gd name="T24" fmla="+- 0 699 600"/>
                                <a:gd name="T25" fmla="*/ T24 w 215"/>
                                <a:gd name="T26" fmla="+- 0 246 31"/>
                                <a:gd name="T27" fmla="*/ 246 h 215"/>
                                <a:gd name="T28" fmla="+- 0 722 600"/>
                                <a:gd name="T29" fmla="*/ T28 w 215"/>
                                <a:gd name="T30" fmla="+- 0 245 31"/>
                                <a:gd name="T31" fmla="*/ 245 h 215"/>
                                <a:gd name="T32" fmla="+- 0 742 600"/>
                                <a:gd name="T33" fmla="*/ T32 w 215"/>
                                <a:gd name="T34" fmla="+- 0 240 31"/>
                                <a:gd name="T35" fmla="*/ 240 h 215"/>
                                <a:gd name="T36" fmla="+- 0 760 600"/>
                                <a:gd name="T37" fmla="*/ T36 w 215"/>
                                <a:gd name="T38" fmla="+- 0 232 31"/>
                                <a:gd name="T39" fmla="*/ 232 h 215"/>
                                <a:gd name="T40" fmla="+- 0 769 600"/>
                                <a:gd name="T41" fmla="*/ T40 w 215"/>
                                <a:gd name="T42" fmla="+- 0 226 31"/>
                                <a:gd name="T43" fmla="*/ 226 h 215"/>
                                <a:gd name="T44" fmla="+- 0 716 600"/>
                                <a:gd name="T45" fmla="*/ T44 w 215"/>
                                <a:gd name="T46" fmla="+- 0 226 31"/>
                                <a:gd name="T47" fmla="*/ 226 h 215"/>
                                <a:gd name="T48" fmla="+- 0 692 600"/>
                                <a:gd name="T49" fmla="*/ T48 w 215"/>
                                <a:gd name="T50" fmla="+- 0 225 31"/>
                                <a:gd name="T51" fmla="*/ 225 h 215"/>
                                <a:gd name="T52" fmla="+- 0 638 600"/>
                                <a:gd name="T53" fmla="*/ T52 w 215"/>
                                <a:gd name="T54" fmla="+- 0 191 31"/>
                                <a:gd name="T55" fmla="*/ 191 h 215"/>
                                <a:gd name="T56" fmla="+- 0 619 600"/>
                                <a:gd name="T57" fmla="*/ T56 w 215"/>
                                <a:gd name="T58" fmla="+- 0 139 31"/>
                                <a:gd name="T59" fmla="*/ 139 h 215"/>
                                <a:gd name="T60" fmla="+- 0 621 600"/>
                                <a:gd name="T61" fmla="*/ T60 w 215"/>
                                <a:gd name="T62" fmla="+- 0 119 31"/>
                                <a:gd name="T63" fmla="*/ 119 h 215"/>
                                <a:gd name="T64" fmla="+- 0 657 600"/>
                                <a:gd name="T65" fmla="*/ T64 w 215"/>
                                <a:gd name="T66" fmla="+- 0 67 31"/>
                                <a:gd name="T67" fmla="*/ 67 h 215"/>
                                <a:gd name="T68" fmla="+- 0 707 600"/>
                                <a:gd name="T69" fmla="*/ T68 w 215"/>
                                <a:gd name="T70" fmla="+- 0 51 31"/>
                                <a:gd name="T71" fmla="*/ 51 h 215"/>
                                <a:gd name="T72" fmla="+- 0 767 600"/>
                                <a:gd name="T73" fmla="*/ T72 w 215"/>
                                <a:gd name="T74" fmla="+- 0 51 31"/>
                                <a:gd name="T75" fmla="*/ 51 h 215"/>
                                <a:gd name="T76" fmla="+- 0 756 600"/>
                                <a:gd name="T77" fmla="*/ T76 w 215"/>
                                <a:gd name="T78" fmla="+- 0 43 31"/>
                                <a:gd name="T79" fmla="*/ 43 h 215"/>
                                <a:gd name="T80" fmla="+- 0 738 600"/>
                                <a:gd name="T81" fmla="*/ T80 w 215"/>
                                <a:gd name="T82" fmla="+- 0 36 31"/>
                                <a:gd name="T83" fmla="*/ 36 h 215"/>
                                <a:gd name="T84" fmla="+- 0 720 600"/>
                                <a:gd name="T85" fmla="*/ T84 w 215"/>
                                <a:gd name="T86" fmla="+- 0 32 31"/>
                                <a:gd name="T87" fmla="*/ 32 h 215"/>
                                <a:gd name="T88" fmla="+- 0 707 600"/>
                                <a:gd name="T89" fmla="*/ T88 w 215"/>
                                <a:gd name="T90" fmla="+- 0 31 31"/>
                                <a:gd name="T91" fmla="*/ 3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7" y="0"/>
                                  </a:moveTo>
                                  <a:lnTo>
                                    <a:pt x="49" y="17"/>
                                  </a:lnTo>
                                  <a:lnTo>
                                    <a:pt x="9" y="65"/>
                                  </a:lnTo>
                                  <a:lnTo>
                                    <a:pt x="0" y="103"/>
                                  </a:lnTo>
                                  <a:lnTo>
                                    <a:pt x="1" y="126"/>
                                  </a:lnTo>
                                  <a:lnTo>
                                    <a:pt x="44" y="194"/>
                                  </a:lnTo>
                                  <a:lnTo>
                                    <a:pt x="99" y="215"/>
                                  </a:lnTo>
                                  <a:lnTo>
                                    <a:pt x="122" y="214"/>
                                  </a:lnTo>
                                  <a:lnTo>
                                    <a:pt x="142" y="209"/>
                                  </a:lnTo>
                                  <a:lnTo>
                                    <a:pt x="160" y="201"/>
                                  </a:lnTo>
                                  <a:lnTo>
                                    <a:pt x="169" y="195"/>
                                  </a:lnTo>
                                  <a:lnTo>
                                    <a:pt x="116" y="195"/>
                                  </a:lnTo>
                                  <a:lnTo>
                                    <a:pt x="92" y="194"/>
                                  </a:lnTo>
                                  <a:lnTo>
                                    <a:pt x="38" y="160"/>
                                  </a:lnTo>
                                  <a:lnTo>
                                    <a:pt x="19" y="108"/>
                                  </a:lnTo>
                                  <a:lnTo>
                                    <a:pt x="21" y="88"/>
                                  </a:lnTo>
                                  <a:lnTo>
                                    <a:pt x="57" y="36"/>
                                  </a:lnTo>
                                  <a:lnTo>
                                    <a:pt x="107" y="20"/>
                                  </a:lnTo>
                                  <a:lnTo>
                                    <a:pt x="167" y="20"/>
                                  </a:lnTo>
                                  <a:lnTo>
                                    <a:pt x="156" y="12"/>
                                  </a:lnTo>
                                  <a:lnTo>
                                    <a:pt x="138" y="5"/>
                                  </a:lnTo>
                                  <a:lnTo>
                                    <a:pt x="120" y="1"/>
                                  </a:lnTo>
                                  <a:lnTo>
                                    <a:pt x="1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0" name="Freeform 72"/>
                          <wps:cNvSpPr>
                            <a:spLocks/>
                          </wps:cNvSpPr>
                          <wps:spPr bwMode="auto">
                            <a:xfrm>
                              <a:off x="600" y="31"/>
                              <a:ext cx="215" cy="215"/>
                            </a:xfrm>
                            <a:custGeom>
                              <a:avLst/>
                              <a:gdLst>
                                <a:gd name="T0" fmla="+- 0 767 600"/>
                                <a:gd name="T1" fmla="*/ T0 w 215"/>
                                <a:gd name="T2" fmla="+- 0 51 31"/>
                                <a:gd name="T3" fmla="*/ 51 h 215"/>
                                <a:gd name="T4" fmla="+- 0 707 600"/>
                                <a:gd name="T5" fmla="*/ T4 w 215"/>
                                <a:gd name="T6" fmla="+- 0 51 31"/>
                                <a:gd name="T7" fmla="*/ 51 h 215"/>
                                <a:gd name="T8" fmla="+- 0 728 600"/>
                                <a:gd name="T9" fmla="*/ T8 w 215"/>
                                <a:gd name="T10" fmla="+- 0 53 31"/>
                                <a:gd name="T11" fmla="*/ 53 h 215"/>
                                <a:gd name="T12" fmla="+- 0 747 600"/>
                                <a:gd name="T13" fmla="*/ T12 w 215"/>
                                <a:gd name="T14" fmla="+- 0 60 31"/>
                                <a:gd name="T15" fmla="*/ 60 h 215"/>
                                <a:gd name="T16" fmla="+- 0 764 600"/>
                                <a:gd name="T17" fmla="*/ T16 w 215"/>
                                <a:gd name="T18" fmla="+- 0 71 31"/>
                                <a:gd name="T19" fmla="*/ 71 h 215"/>
                                <a:gd name="T20" fmla="+- 0 779 600"/>
                                <a:gd name="T21" fmla="*/ T20 w 215"/>
                                <a:gd name="T22" fmla="+- 0 89 31"/>
                                <a:gd name="T23" fmla="*/ 89 h 215"/>
                                <a:gd name="T24" fmla="+- 0 789 600"/>
                                <a:gd name="T25" fmla="*/ T24 w 215"/>
                                <a:gd name="T26" fmla="+- 0 107 31"/>
                                <a:gd name="T27" fmla="*/ 107 h 215"/>
                                <a:gd name="T28" fmla="+- 0 794 600"/>
                                <a:gd name="T29" fmla="*/ T28 w 215"/>
                                <a:gd name="T30" fmla="+- 0 125 31"/>
                                <a:gd name="T31" fmla="*/ 125 h 215"/>
                                <a:gd name="T32" fmla="+- 0 793 600"/>
                                <a:gd name="T33" fmla="*/ T32 w 215"/>
                                <a:gd name="T34" fmla="+- 0 151 31"/>
                                <a:gd name="T35" fmla="*/ 151 h 215"/>
                                <a:gd name="T36" fmla="+- 0 753 600"/>
                                <a:gd name="T37" fmla="*/ T36 w 215"/>
                                <a:gd name="T38" fmla="+- 0 214 31"/>
                                <a:gd name="T39" fmla="*/ 214 h 215"/>
                                <a:gd name="T40" fmla="+- 0 716 600"/>
                                <a:gd name="T41" fmla="*/ T40 w 215"/>
                                <a:gd name="T42" fmla="+- 0 226 31"/>
                                <a:gd name="T43" fmla="*/ 226 h 215"/>
                                <a:gd name="T44" fmla="+- 0 769 600"/>
                                <a:gd name="T45" fmla="*/ T44 w 215"/>
                                <a:gd name="T46" fmla="+- 0 226 31"/>
                                <a:gd name="T47" fmla="*/ 226 h 215"/>
                                <a:gd name="T48" fmla="+- 0 811 600"/>
                                <a:gd name="T49" fmla="*/ T48 w 215"/>
                                <a:gd name="T50" fmla="+- 0 168 31"/>
                                <a:gd name="T51" fmla="*/ 168 h 215"/>
                                <a:gd name="T52" fmla="+- 0 814 600"/>
                                <a:gd name="T53" fmla="*/ T52 w 215"/>
                                <a:gd name="T54" fmla="+- 0 150 31"/>
                                <a:gd name="T55" fmla="*/ 150 h 215"/>
                                <a:gd name="T56" fmla="+- 0 813 600"/>
                                <a:gd name="T57" fmla="*/ T56 w 215"/>
                                <a:gd name="T58" fmla="+- 0 125 31"/>
                                <a:gd name="T59" fmla="*/ 125 h 215"/>
                                <a:gd name="T60" fmla="+- 0 809 600"/>
                                <a:gd name="T61" fmla="*/ T60 w 215"/>
                                <a:gd name="T62" fmla="+- 0 105 31"/>
                                <a:gd name="T63" fmla="*/ 105 h 215"/>
                                <a:gd name="T64" fmla="+- 0 802 600"/>
                                <a:gd name="T65" fmla="*/ T64 w 215"/>
                                <a:gd name="T66" fmla="+- 0 87 31"/>
                                <a:gd name="T67" fmla="*/ 87 h 215"/>
                                <a:gd name="T68" fmla="+- 0 791 600"/>
                                <a:gd name="T69" fmla="*/ T68 w 215"/>
                                <a:gd name="T70" fmla="+- 0 72 31"/>
                                <a:gd name="T71" fmla="*/ 72 h 215"/>
                                <a:gd name="T72" fmla="+- 0 773 600"/>
                                <a:gd name="T73" fmla="*/ T72 w 215"/>
                                <a:gd name="T74" fmla="+- 0 55 31"/>
                                <a:gd name="T75" fmla="*/ 55 h 215"/>
                                <a:gd name="T76" fmla="+- 0 767 600"/>
                                <a:gd name="T77" fmla="*/ T76 w 215"/>
                                <a:gd name="T78" fmla="+- 0 51 31"/>
                                <a:gd name="T79" fmla="*/ 5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7" y="20"/>
                                  </a:moveTo>
                                  <a:lnTo>
                                    <a:pt x="107" y="20"/>
                                  </a:lnTo>
                                  <a:lnTo>
                                    <a:pt x="128" y="22"/>
                                  </a:lnTo>
                                  <a:lnTo>
                                    <a:pt x="147" y="29"/>
                                  </a:lnTo>
                                  <a:lnTo>
                                    <a:pt x="164" y="40"/>
                                  </a:lnTo>
                                  <a:lnTo>
                                    <a:pt x="179" y="58"/>
                                  </a:lnTo>
                                  <a:lnTo>
                                    <a:pt x="189" y="76"/>
                                  </a:lnTo>
                                  <a:lnTo>
                                    <a:pt x="194" y="94"/>
                                  </a:lnTo>
                                  <a:lnTo>
                                    <a:pt x="193" y="120"/>
                                  </a:lnTo>
                                  <a:lnTo>
                                    <a:pt x="153" y="183"/>
                                  </a:lnTo>
                                  <a:lnTo>
                                    <a:pt x="116" y="195"/>
                                  </a:lnTo>
                                  <a:lnTo>
                                    <a:pt x="169" y="195"/>
                                  </a:lnTo>
                                  <a:lnTo>
                                    <a:pt x="211" y="137"/>
                                  </a:lnTo>
                                  <a:lnTo>
                                    <a:pt x="214" y="119"/>
                                  </a:lnTo>
                                  <a:lnTo>
                                    <a:pt x="213" y="94"/>
                                  </a:lnTo>
                                  <a:lnTo>
                                    <a:pt x="209" y="74"/>
                                  </a:lnTo>
                                  <a:lnTo>
                                    <a:pt x="202" y="56"/>
                                  </a:lnTo>
                                  <a:lnTo>
                                    <a:pt x="191" y="41"/>
                                  </a:lnTo>
                                  <a:lnTo>
                                    <a:pt x="173" y="24"/>
                                  </a:lnTo>
                                  <a:lnTo>
                                    <a:pt x="167"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731E69" id="Group 61464" o:spid="_x0000_s1026" style="width:55.65pt;height:19.5pt;mso-position-horizontal-relative:char;mso-position-vertical-relative:line" coordsize="11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">
                <v:group id="Group 40" o:spid="_x0000_s1027" style="position:absolute;left:3;top:5;width:1106;height:378" coordorigin="3,5"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m9OscAAADeAAAADwAAAGRycy9kb3ducmV2LnhtbESPQWvCQBSE7wX/w/KE&#10;3uomWoNEVxGppQcRqoJ4e2SfSTD7NmS3Sfz3riD0OMzMN8xi1ZtKtNS40rKCeBSBIM6sLjlXcDpu&#10;P2YgnEfWWFkmBXdysFoO3haYatvxL7UHn4sAYZeigsL7OpXSZQUZdCNbEwfvahuDPsgml7rBLsBN&#10;JcdRlEiDJYeFAmvaFJTdDn9GwXeH3XoSf7W723Vzvxyn+/MuJqXeh/16DsJT7//Dr/aPVpDEn8kU&#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m9OscAAADe&#10;AAAADwAAAAAAAAAAAAAAAACqAgAAZHJzL2Rvd25yZXYueG1sUEsFBgAAAAAEAAQA+gAAAJ4DAAAA&#10;AA==&#10;">
                  <v:shape id="Freeform 41" o:spid="_x0000_s1028" style="position:absolute;left:3;top:5;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HQ8AA&#10;AADeAAAADwAAAGRycy9kb3ducmV2LnhtbERPy2oCMRTdF/yHcAV3NaPoYKdGESHQrQ8Qd5fJ7WTo&#10;5GacpBr/3iwKXR7Oe71NrhN3GkLrWcFsWoAgrr1puVFwPun3FYgQkQ12nknBkwJsN6O3NVbGP/hA&#10;92NsRA7hUKECG2NfSRlqSw7D1PfEmfv2g8OY4dBIM+Ajh7tOzouilA5bzg0We9pbqn+Ov07BBy21&#10;via9dIfb9aZ3F07SslKTcdp9goiU4r/4z/1lFJSzRZn35jv5C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jHQ8AAAADeAAAADwAAAAAAAAAAAAAAAACYAgAAZHJzL2Rvd25y&#10;ZXYueG1sUEsFBgAAAAAEAAQA9QAAAIUDAAAAAA==&#10;" path="m26,l1,,,14,,377r1104,l1105,24,1095,4,1077,2,26,xe" fillcolor="#bcbec0" stroked="f">
                    <v:path arrowok="t" o:connecttype="custom" o:connectlocs="26,5;1,5;0,19;0,382;1104,382;1105,29;1095,9;1077,7;26,5" o:connectangles="0,0,0,0,0,0,0,0,0"/>
                  </v:shape>
                </v:group>
                <v:group id="Group 42" o:spid="_x0000_s1029" style="position:absolute;width:1113;height:390"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3P8cAAADeAAAADwAAAGRycy9kb3ducmV2LnhtbESPQWvCQBSE70L/w/IK&#10;3uomWkONriJiiwcpVAvi7ZF9JsHs25DdJvHfu0LB4zAz3zCLVW8q0VLjSssK4lEEgjizuuRcwe/x&#10;8+0DhPPIGivLpOBGDlbLl8ECU207/qH24HMRIOxSVFB4X6dSuqwgg25ka+LgXWxj0AfZ5FI32AW4&#10;qeQ4ihJpsOSwUGBNm4Ky6+HPKPjqsFtP4m27v142t/Nx+n3ax6TU8LVfz0F46v0z/N/eaQVJ/J7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S3P8cAAADe&#10;AAAADwAAAAAAAAAAAAAAAACqAgAAZHJzL2Rvd25yZXYueG1sUEsFBgAAAAAEAAQA+gAAAJ4DAAAA&#10;AA==&#10;">
                  <v:shape id="Freeform 43" o:spid="_x0000_s1030"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UbMUA&#10;AADeAAAADwAAAGRycy9kb3ducmV2LnhtbESPTWvCQBCG70L/wzKF3nQ30kYbXaUI0kJPfh16G7Jj&#10;EpqdDdmppv313YPg8eX94lmuB9+qC/WxCWwhmxhQxGVwDVcWjofteA4qCrLDNjBZ+KUI69XDaImF&#10;C1fe0WUvlUojHAu0UIt0hdaxrMljnISOOHnn0HuUJPtKux6vady3empMrj02nB5q7GhTU/m9//EW&#10;XnfmRZs8ZiJ/73Pir9Pp87i19ulxeFuAEhrkHr61P5yFPHueJYCEk1B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lRsxQAAAN4AAAAPAAAAAAAAAAAAAAAAAJgCAABkcnMv&#10;ZG93bnJldi54bWxQSwUGAAAAAAQABAD1AAAAigMAAAAA&#10;" path="m1103,l9,,,9,,387r2,2l1111,389r2,-2l1113,359r-914,l176,357,114,339,67,302,55,286,9,274,9,15,15,9r1098,l1103,xe" fillcolor="#231f20" stroked="f">
                    <v:path arrowok="t" o:connecttype="custom" o:connectlocs="1103,0;9,0;0,9;0,387;2,389;1111,389;1113,387;1113,359;199,359;176,357;114,339;67,302;55,286;9,274;9,15;15,9;1113,9;1103,0" o:connectangles="0,0,0,0,0,0,0,0,0,0,0,0,0,0,0,0,0,0"/>
                  </v:shape>
                  <v:shape id="Freeform 44" o:spid="_x0000_s1031"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x98YA&#10;AADeAAAADwAAAGRycy9kb3ducmV2LnhtbESPQWvCQBSE74X+h+UVequ7KZra1FVKQSr0pNVDb4/s&#10;axKafRuyT43++q4geBxm5htmthh8qw7UxyawhWxkQBGXwTVcWdh+L5+moKIgO2wDk4UTRVjM7+9m&#10;WLhw5DUdNlKpBOFYoIVapCu0jmVNHuModMTJ+w29R0myr7Tr8ZjgvtXPxuTaY8NpocaOPmoq/zZ7&#10;b+F1bSba5DETOX9OiX92u6/t0trHh+H9DZTQILfwtb1yFvJs/JLB5U66An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bx98YAAADeAAAADwAAAAAAAAAAAAAAAACYAgAAZHJz&#10;L2Rvd25yZXYueG1sUEsFBgAAAAAEAAQA9QAAAIsDAAAAAA==&#10;" path="m1113,9r-15,l1103,15r,259l335,274r-11,17l311,307r-50,36l199,359r914,l1113,9xe" fillcolor="#231f20" stroked="f">
                    <v:path arrowok="t" o:connecttype="custom" o:connectlocs="1113,9;1098,9;1103,15;1103,274;335,274;324,291;311,307;261,343;199,359;1113,359;1113,9" o:connectangles="0,0,0,0,0,0,0,0,0,0,0"/>
                  </v:shape>
                </v:group>
                <v:group id="Group 45" o:spid="_x0000_s1032" style="position:absolute;left:655;top:304;width:52;height:62" coordorigin="655,30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yB2MQAAADeAAAADwAAAGRycy9kb3ducmV2LnhtbERPS4vCMBC+L/gfwgh7&#10;W9Pqrkg1ioguexDBB4i3oRnbYjMpTWzrvzeCsLf5+J4zW3SmFA3VrrCsIB5EIIhTqwvOFJyOm68J&#10;COeRNZaWScGDHCzmvY8ZJtq2vKfm4DMRQtglqCD3vkqkdGlOBt3AVsSBu9raoA+wzqSusQ3hppTD&#10;KBpLgwWHhhwrWuWU3g53o+C3xXY5itfN9nZdPS7Hn915G5NSn/1uOQXhqfP/4rf7T4f5k+/R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yB2MQAAADeAAAA&#10;DwAAAAAAAAAAAAAAAACqAgAAZHJzL2Rvd25yZXYueG1sUEsFBgAAAAAEAAQA+gAAAJsDAAAAAA==&#10;">
                  <v:shape id="Freeform 46" o:spid="_x0000_s1033"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7QMQA&#10;AADeAAAADwAAAGRycy9kb3ducmV2LnhtbERP22oCMRB9F/yHMELfNNvqimyN0gpl+6DgpR8wbGYv&#10;dDMJm+hu/74RBN/mcK6z3g6mFTfqfGNZwessAUFcWN1wpeDn8jVdgfABWWNrmRT8kYftZjxaY6Zt&#10;zye6nUMlYgj7DBXUIbhMSl/UZNDPrCOOXGk7gyHCrpK6wz6Gm1a+JclSGmw4NtToaFdT8Xu+GgV+&#10;tyw/XePyPi/74yHF9LrPU6VeJsPHO4hAQ3iKH+5vHeevFvM53N+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e0DEAAAA3gAAAA8AAAAAAAAAAAAAAAAAmAIAAGRycy9k&#10;b3ducmV2LnhtbFBLBQYAAAAABAAEAPUAAACJAwAAAAA=&#10;" path="m32,l,,,61r33,l36,61,51,51r-37,l14,34r35,l47,31,44,29,41,28r2,-2l45,25,14,24r,-14l49,10,35,,32,xe" stroked="f">
                    <v:path arrowok="t" o:connecttype="custom" o:connectlocs="32,304;0,304;0,365;33,365;36,365;51,355;14,355;14,338;49,338;47,335;44,333;41,332;43,330;45,329;14,328;14,314;49,314;49,314;35,304;32,304" o:connectangles="0,0,0,0,0,0,0,0,0,0,0,0,0,0,0,0,0,0,0,0"/>
                  </v:shape>
                  <v:shape id="Freeform 47" o:spid="_x0000_s1034"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jNMQA&#10;AADeAAAADwAAAGRycy9kb3ducmV2LnhtbERP22oCMRB9F/yHMELfNNvWFdkapRXK+qDgpR8wbGYv&#10;dDMJm+hu/74RBN/mcK6z2gymFTfqfGNZwessAUFcWN1wpeDn8j1dgvABWWNrmRT8kYfNejxaYaZt&#10;zye6nUMlYgj7DBXUIbhMSl/UZNDPrCOOXGk7gyHCrpK6wz6Gm1a+JclCGmw4NtToaFtT8Xu+GgV+&#10;uyi/XOPyPi/74yHF9LrPU6VeJsPnB4hAQ3iKH+6djvOX8/c53N+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4zTEAAAA3gAAAA8AAAAAAAAAAAAAAAAAmAIAAGRycy9k&#10;b3ducmV2LnhtbFBLBQYAAAAABAAEAPUAAACJAwAAAAA=&#10;" path="m49,34r-17,l34,34r4,3l38,39r,5l28,51r23,l51,49r1,-3l52,39,51,36,49,34xe" stroked="f">
                    <v:path arrowok="t" o:connecttype="custom" o:connectlocs="49,338;32,338;34,338;38,341;38,343;38,348;28,355;51,355;51,353;52,350;52,343;51,340;49,338" o:connectangles="0,0,0,0,0,0,0,0,0,0,0,0,0"/>
                  </v:shape>
                  <v:shape id="Freeform 48" o:spid="_x0000_s1035"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Gr8MA&#10;AADeAAAADwAAAGRycy9kb3ducmV2LnhtbERP22oCMRB9L/gPYQTfata2K7IaxQplfWjB2wcMm9kL&#10;biZhE931702h0Lc5nOusNoNpxZ0631hWMJsmIIgLqxuuFFzOX68LED4ga2wtk4IHedisRy8rzLTt&#10;+Uj3U6hEDGGfoYI6BJdJ6YuaDPqpdcSRK21nMETYVVJ32Mdw08q3JJlLgw3Hhhod7WoqrqebUeB3&#10;8/LTNS7v87I//KSY3r7zVKnJeNguQQQawr/4z73Xcf7i4z2F33fiD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FGr8MAAADeAAAADwAAAAAAAAAAAAAAAACYAgAAZHJzL2Rv&#10;d25yZXYueG1sUEsFBgAAAAAEAAQA9QAAAIgDAAAAAA==&#10;" path="m49,10r-35,l29,10r2,1l36,16r,4l35,22r-3,2l30,24r16,l48,21r1,-3l49,11r,-1xe" stroked="f">
                    <v:path arrowok="t" o:connecttype="custom" o:connectlocs="49,314;14,314;29,314;31,315;36,320;36,324;35,326;32,328;30,328;46,328;48,325;49,322;49,315;49,314" o:connectangles="0,0,0,0,0,0,0,0,0,0,0,0,0,0"/>
                  </v:shape>
                </v:group>
                <v:group id="Group 49" o:spid="_x0000_s1036" style="position:absolute;left:709;top:304;width:59;height:62" coordorigin="709,304"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eH28QAAADeAAAADwAAAGRycy9kb3ducmV2LnhtbERPS4vCMBC+C/sfwgje&#10;NO36QKpRRHTZgwg+YNnb0IxtsZmUJrb135uFBW/z8T1nue5MKRqqXWFZQTyKQBCnVhecKbhe9sM5&#10;COeRNZaWScGTHKxXH70lJtq2fKLm7DMRQtglqCD3vkqkdGlOBt3IVsSBu9naoA+wzqSusQ3hppSf&#10;UTSTBgsODTlWtM0pvZ8fRsFXi+1mHO+aw/22ff5epsefQ0xKDfrdZgHCU+ff4n/3tw7z55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eH28QAAADeAAAA&#10;DwAAAAAAAAAAAAAAAACqAgAAZHJzL2Rvd25yZXYueG1sUEsFBgAAAAAEAAQA+gAAAJsDAAAAAA==&#10;">
                  <v:shape id="Freeform 50" o:spid="_x0000_s1037"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U88YA&#10;AADeAAAADwAAAGRycy9kb3ducmV2LnhtbERPS2sCMRC+C/6HMAVvmq2Wdl2NIhZpLz34QO1tmoy7&#10;i5vJdhN1+++bgtDbfHzPmc5bW4krNb50rOBxkIAg1s6UnCvYbVf9FIQPyAYrx6TghzzMZ93OFDPj&#10;brym6ybkIoawz1BBEUKdSel1QRb9wNXEkTu5xmKIsMmlafAWw20lh0nyLC2WHBsKrGlZkD5vLlaB&#10;/RofPl6P362stUx3erF/+9xbpXoP7WICIlAb/sV397uJ89On0Qv8vRN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AU88YAAADeAAAADwAAAAAAAAAAAAAAAACYAgAAZHJz&#10;L2Rvd25yZXYueG1sUEsFBgAAAAAEAAQA9QAAAIsDAAAAAA==&#10;" path="m15,l,,23,37r,24l36,61r,-24l45,24r-15,l15,xe" stroked="f">
                    <v:path arrowok="t" o:connecttype="custom" o:connectlocs="15,304;0,304;23,341;23,365;36,365;36,341;45,328;30,328;15,304" o:connectangles="0,0,0,0,0,0,0,0,0"/>
                  </v:shape>
                  <v:shape id="Freeform 51" o:spid="_x0000_s1038"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gcgA&#10;AADeAAAADwAAAGRycy9kb3ducmV2LnhtbESPQU/CQBCF7yb8h82QeJMtakypLIRIjF48CAT1NuwO&#10;bUN3tnRXKP+eOZh4m8l7894303nvG3WiLtaBDYxHGShiG1zNpYHN+vUuBxUTssMmMBm4UIT5bHAz&#10;xcKFM3/SaZVKJSEcCzRQpdQWWkdbkcc4Ci2xaPvQeUyydqV2HZ4l3Df6PsuetMeapaHCll4qsofV&#10;rzfgd5Ovj+X3sdet1fnGLrZvP1tvzO2wXzyDStSnf/Pf9bsT/PzxQXjlHZ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4CByAAAAN4AAAAPAAAAAAAAAAAAAAAAAJgCAABk&#10;cnMvZG93bnJldi54bWxQSwUGAAAAAAQABAD1AAAAjQMAAAAA&#10;" path="m59,l44,,30,24r15,l59,xe" stroked="f">
                    <v:path arrowok="t" o:connecttype="custom" o:connectlocs="59,304;44,304;30,328;45,328;59,304" o:connectangles="0,0,0,0,0"/>
                  </v:shape>
                </v:group>
                <v:group id="Group 52" o:spid="_x0000_s1039" style="position:absolute;left:65;top:57;width:253;height:250" coordorigin="65,57"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gTqcUAAADeAAAADwAAAGRycy9kb3ducmV2LnhtbERPS2vCQBC+F/wPywi9&#10;6SbaikZXEamlBxF8gHgbsmMSzM6G7JrEf98tCL3Nx/ecxaozpWiodoVlBfEwAkGcWl1wpuB82g6m&#10;IJxH1lhaJgVPcrBa9t4WmGjb8oGao89ECGGXoILc+yqR0qU5GXRDWxEH7mZrgz7AOpO6xjaEm1KO&#10;omgiDRYcGnKsaJNTej8+jILvFtv1OP5qdvfb5nk9fe4vu5iUeu936zkIT53/F7/cPzrMn36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YE6nFAAAA3gAA&#10;AA8AAAAAAAAAAAAAAAAAqgIAAGRycy9kb3ducmV2LnhtbFBLBQYAAAAABAAEAPoAAACcAwAAAAA=&#10;">
                  <v:shape id="Freeform 53" o:spid="_x0000_s1040" style="position:absolute;left:65;top:57;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xpsgA&#10;AADeAAAADwAAAGRycy9kb3ducmV2LnhtbESPT0sDMRDF74LfIYzgzWbVtpRt01KKYi2K9M+h3obN&#10;uFncTJYktuu3dw4FbzPMm/feb7bofatOFFMT2MD9oABFXAXbcG3gsH++m4BKGdliG5gM/FKCxfz6&#10;aoalDWfe0mmXayUmnEo04HLuSq1T5chjGoSOWG5fIXrMssZa24hnMfetfiiKsfbYsCQ47GjlqPre&#10;/XgDn+/89jE6xqfRGt3j64veFFscG3N70y+noDL1+V98+V5bqT8ZDgVAcGQG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fGmyAAAAN4AAAAPAAAAAAAAAAAAAAAAAJgCAABk&#10;cnMvZG93bnJldi54bWxQSwUGAAAAAAQABAD1AAAAjQMAAAAA&#10;" path="m105,l45,28,8,80,,125r1,17l24,197r50,39l148,249r21,-5l223,207r28,-59l253,125r-2,-17l228,52,178,14,105,xe" stroked="f">
                    <v:path arrowok="t" o:connecttype="custom" o:connectlocs="105,57;45,85;8,137;0,182;1,199;24,254;74,293;148,306;169,301;223,264;251,205;253,182;251,165;228,109;178,71;105,57" o:connectangles="0,0,0,0,0,0,0,0,0,0,0,0,0,0,0,0"/>
                  </v:shape>
                </v:group>
                <v:group id="Group 54" o:spid="_x0000_s1041" style="position:absolute;left:47;top:37;width:289;height:289" coordorigin="47,37"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s0sUAAADeAAAADwAAAGRycy9kb3ducmV2LnhtbERPS2vCQBC+F/wPywi9&#10;1U2sLZK6EQkqHqRQLZTehuyYhGRnQ3bN4993C4Xe5uN7zmY7mkb01LnKsoJ4EYEgzq2uuFDweT08&#10;rUE4j6yxsUwKJnKwTWcPG0y0HfiD+osvRAhhl6CC0vs2kdLlJRl0C9sSB+5mO4M+wK6QusMhhJtG&#10;LqPoVRqsODSU2FJWUl5f7kbBccBh9xzv+3N9y6bv68v71zkmpR7n4+4NhKfR/4v/3Ccd5q9Xq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obNLFAAAA3gAA&#10;AA8AAAAAAAAAAAAAAAAAqgIAAGRycy9kb3ducmV2LnhtbFBLBQYAAAAABAAEAPoAAACcAwAAAAA=&#10;">
                  <v:shape id="Freeform 55" o:spid="_x0000_s1042"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U8YA&#10;AADeAAAADwAAAGRycy9kb3ducmV2LnhtbERP32vCMBB+H+x/CDfYy9B0rkypRhnDwXDImIrg29Hc&#10;mmJzaZOo9b9fBoO93cf382aL3jbiTD7UjhU8DjMQxKXTNVcKdtu3wQREiMgaG8ek4EoBFvPbmxkW&#10;2l34i86bWIkUwqFABSbGtpAylIYshqFriRP37bzFmKCvpPZ4SeG2kaMse5YWa04NBlt6NVQeNyer&#10;IDPjvFt+0Pq0w8Nx/7le+e6hU+r+rn+ZgojUx3/xn/tdp/mTPH+C33fSD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G/U8YAAADeAAAADwAAAAAAAAAAAAAAAACYAgAAZHJz&#10;L2Rvd25yZXYueG1sUEsFBgAAAAAEAAQA9QAAAIsDAAAAAA==&#10;" path="m129,l55,31,9,94,,159r3,20l30,233r62,47l158,289r20,-3l197,280r18,-9l228,263r-96,l112,259,59,227,27,157,26,133r4,-20l61,61,134,28r25,-1l229,27r,-1l213,17,196,9,176,4,154,1,129,xe" fillcolor="#231f20" stroked="f">
                    <v:path arrowok="t" o:connecttype="custom" o:connectlocs="129,37;55,68;9,131;0,196;3,216;30,270;92,317;158,326;178,323;197,317;215,308;228,300;132,300;112,296;59,264;27,194;26,170;30,150;61,98;134,65;159,64;229,64;229,63;213,54;196,46;176,41;154,38;129,37" o:connectangles="0,0,0,0,0,0,0,0,0,0,0,0,0,0,0,0,0,0,0,0,0,0,0,0,0,0,0,0"/>
                  </v:shape>
                  <v:shape id="Freeform 56" o:spid="_x0000_s1043"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nJ8YA&#10;AADeAAAADwAAAGRycy9kb3ducmV2LnhtbERP32vCMBB+H+x/CDfwZWjqKJtUo4zhQDZEpiL4djRn&#10;U2wubRK1+++XwWBv9/H9vNmit424kg+1YwXjUQaCuHS65krBfvc+nIAIEVlj45gUfFOAxfz+boaF&#10;djf+ous2ViKFcChQgYmxLaQMpSGLYeRa4sSdnLcYE/SV1B5vKdw28inLnqXFmlODwZbeDJXn7cUq&#10;yMxL3i0/aX3Z4/F82Kw/fPfYKTV46F+nICL18V/8517pNH+S5zn8vpNu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gnJ8YAAADeAAAADwAAAAAAAAAAAAAAAACYAgAAZHJz&#10;L2Rvd25yZXYueG1sUEsFBgAAAAAEAAQA9QAAAIsDAAAAAA==&#10;" path="m229,27r-70,l179,31r18,7l243,78r18,57l262,157r,2l226,230r-70,32l132,263r96,l271,216r17,-59l289,133r-3,-21l247,42r-4,-4l229,27xe" fillcolor="#231f20" stroked="f">
                    <v:path arrowok="t" o:connecttype="custom" o:connectlocs="229,64;159,64;179,68;197,75;243,115;261,172;262,194;262,196;226,267;156,299;132,300;228,300;271,253;288,194;289,170;286,149;247,79;243,75;229,64" o:connectangles="0,0,0,0,0,0,0,0,0,0,0,0,0,0,0,0,0,0,0"/>
                  </v:shape>
                  <v:shape id="Freeform 57" o:spid="_x0000_s1044"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CvMYA&#10;AADeAAAADwAAAGRycy9kb3ducmV2LnhtbERP30vDMBB+F/wfwgm+DJdOqo7adMhQEGWI2xj4djRn&#10;U9Zc2iTb6n9vhIFv9/H9vHIx2k4cyYfWsYLZNANBXDvdcqNgu3m5mYMIEVlj55gU/FCARXV5UWKh&#10;3Yk/6biOjUghHApUYGLsCylDbchimLqeOHHfzluMCfpGao+nFG47eZtl99Jiy6nBYE9LQ/V+fbAK&#10;MvOQD8/vtDps8Wu/+1i9+WEyKHV9NT49gog0xn/x2f2q0/x5nt/B3zvpBl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SCvMYAAADeAAAADwAAAAAAAAAAAAAAAACYAgAAZHJz&#10;L2Rvd25yZXYueG1sUEsFBgAAAAAEAAQA9QAAAIsDAAAAAA==&#10;" path="m104,100r-12,l82,104,66,120r-4,11l62,159r4,11l81,186r11,4l110,190r19,-7l140,170r-46,l88,162r,-35l94,119r45,l140,117,125,104r-21,-4xe" fillcolor="#231f20" stroked="f">
                    <v:path arrowok="t" o:connecttype="custom" o:connectlocs="104,137;92,137;82,141;66,157;62,168;62,196;66,207;81,223;92,227;110,227;129,220;140,207;94,207;88,199;88,164;94,156;139,156;140,154;125,141;104,137" o:connectangles="0,0,0,0,0,0,0,0,0,0,0,0,0,0,0,0,0,0,0,0"/>
                  </v:shape>
                  <v:shape id="Freeform 58" o:spid="_x0000_s1045"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cy8YA&#10;AADeAAAADwAAAGRycy9kb3ducmV2LnhtbERP32vCMBB+F/Y/hBvsZczUUZxUowzZYExkrJOBb0dz&#10;a4rNpU2i1v9+GQx8u4/v5y1Wg23FiXxoHCuYjDMQxJXTDdcKdl+vDzMQISJrbB2TggsFWC1vRgss&#10;tDvzJ53KWIsUwqFABSbGrpAyVIYshrHriBP347zFmKCvpfZ4TuG2lY9ZNpUWG04NBjtaG6oO5dEq&#10;yMxT3r9saHvc4f7w/bF99/19r9Td7fA8BxFpiFfxv/tNp/mzPJ/C3zvp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Ycy8YAAADeAAAADwAAAAAAAAAAAAAAAACYAgAAZHJz&#10;L2Rvd25yZXYueG1sUEsFBgAAAAAEAAQA9QAAAIsDAAAAAA==&#10;" path="m188,100r-12,l166,104r-16,16l146,131r,28l150,170r15,16l176,190r17,l213,183r11,-13l178,170r-7,-8l171,127r7,-8l222,119r2,-2l209,104r-21,-4xe" fillcolor="#231f20" stroked="f">
                    <v:path arrowok="t" o:connecttype="custom" o:connectlocs="188,137;176,137;166,141;150,157;146,168;146,196;150,207;165,223;176,227;193,227;213,220;224,207;178,207;171,199;171,164;178,156;222,156;224,154;209,141;188,137" o:connectangles="0,0,0,0,0,0,0,0,0,0,0,0,0,0,0,0,0,0,0,0"/>
                  </v:shape>
                  <v:shape id="Freeform 59" o:spid="_x0000_s1046"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5UMYA&#10;AADeAAAADwAAAGRycy9kb3ducmV2LnhtbERP32vCMBB+H+x/CDfYy5ipo6hUowzZYExkrJOBb0dz&#10;a4rNpU2i1v9+GQh7u4/v5y1Wg23FiXxoHCsYjzIQxJXTDdcKdl+vjzMQISJrbB2TggsFWC1vbxZY&#10;aHfmTzqVsRYphEOBCkyMXSFlqAxZDCPXESfux3mLMUFfS+3xnMJtK5+ybCItNpwaDHa0NlQdyqNV&#10;kJlp3r9saHvc4f7w/bF99/1Dr9T93fA8BxFpiP/iq/tNp/mzPJ/C3zvp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q5UMYAAADeAAAADwAAAAAAAAAAAAAAAACYAgAAZHJz&#10;L2Rvd25yZXYueG1sUEsFBgAAAAAEAAQA9QAAAIsDAAAAAA==&#10;" path="m125,158r-3,8l116,170r24,l143,167r-18,-9xe" fillcolor="#231f20" stroked="f">
                    <v:path arrowok="t" o:connecttype="custom" o:connectlocs="125,195;122,203;116,207;140,207;143,204;125,195" o:connectangles="0,0,0,0,0,0"/>
                  </v:shape>
                  <v:shape id="Freeform 60" o:spid="_x0000_s1047"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tIsgA&#10;AADeAAAADwAAAGRycy9kb3ducmV2LnhtbESPQUsDMRCF74L/IYzQi9isZdGyNi0iLYhSxFoEb8Nm&#10;3CzdTHaTtF3/vXMQvM3w3rz3zWI1+k6dKKY2sIHbaQGKuA625cbA/mNzMweVMrLFLjAZ+KEEq+Xl&#10;xQIrG878TqddbpSEcKrQgMu5r7ROtSOPaRp6YtG+Q/SYZY2NthHPEu47PSuKO+2xZWlw2NOTo/qw&#10;O3oDhbsvh/UrbY97/Dp8vm1f4nA9GDO5Gh8fQGUa87/57/rZCv68LIVX3p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S0iyAAAAN4AAAAPAAAAAAAAAAAAAAAAAJgCAABk&#10;cnMvZG93bnJldi54bWxQSwUGAAAAAAQABAD1AAAAjQMAAAAA&#10;" path="m209,158r-4,8l199,170r25,l227,167r-18,-9xe" fillcolor="#231f20" stroked="f">
                    <v:path arrowok="t" o:connecttype="custom" o:connectlocs="209,195;205,203;199,207;224,207;227,204;209,195" o:connectangles="0,0,0,0,0,0"/>
                  </v:shape>
                  <v:shape id="Freeform 61" o:spid="_x0000_s1048"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IucYA&#10;AADeAAAADwAAAGRycy9kb3ducmV2LnhtbERP30vDMBB+F/wfwgm+DJdOim616ZChIMoQ5xj4djRn&#10;U9Zc2iTb6n9vhIFv9/H9vHI52k4cyYfWsYLZNANBXDvdcqNg+/l8MwcRIrLGzjEp+KEAy+ryosRC&#10;uxN/0HETG5FCOBSowMTYF1KG2pDFMHU9ceK+nbcYE/SN1B5PKdx28jbL7qTFllODwZ5Whur95mAV&#10;ZOY+H57eaH3Y4td+975+9cNkUOr6anx8ABFpjP/is/tFp/nzPF/A3zvpBl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mIucYAAADeAAAADwAAAAAAAAAAAAAAAACYAgAAZHJz&#10;L2Rvd25yZXYueG1sUEsFBgAAAAAEAAQA9QAAAIsDAAAAAA==&#10;" path="m139,119r-25,l120,123r3,8l139,119xe" fillcolor="#231f20" stroked="f">
                    <v:path arrowok="t" o:connecttype="custom" o:connectlocs="139,156;114,156;120,160;123,168;139,156" o:connectangles="0,0,0,0,0"/>
                  </v:shape>
                  <v:shape id="Freeform 62" o:spid="_x0000_s1049"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3+ckA&#10;AADeAAAADwAAAGRycy9kb3ducmV2LnhtbESPQUsDMRCF74L/IYzgRWxWqbVsmxYRBVFKsRbB27CZ&#10;bpZuJrtJ2q7/3jkUvM0wb95733w5+FYdKaYmsIG7UQGKuAq24drA9uv1dgoqZWSLbWAy8EsJlovL&#10;izmWNpz4k46bXCsx4VSiAZdzV2qdKkce0yh0xHLbhegxyxprbSOexNy3+r4oJtpjw5LgsKNnR9V+&#10;c/AGCvc47l8+aHXY4s/+e716j/1Nb8z11fA0A5VpyP/i8/eblfrT8YMACI7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5q3+ckAAADeAAAADwAAAAAAAAAAAAAAAACYAgAA&#10;ZHJzL2Rvd25yZXYueG1sUEsFBgAAAAAEAAQA9QAAAI4DAAAAAA==&#10;" path="m222,119r-24,l203,123r4,8l222,119xe" fillcolor="#231f20" stroked="f">
                    <v:path arrowok="t" o:connecttype="custom" o:connectlocs="222,156;198,156;203,160;207,168;222,156" o:connectangles="0,0,0,0,0"/>
                  </v:shape>
                </v:group>
                <v:group id="Group 63" o:spid="_x0000_s1050" style="position:absolute;left:608;top:42;width:200;height:200" coordorigin="608,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H6D8UAAADeAAAADwAAAGRycy9kb3ducmV2LnhtbERPS2vCQBC+F/wPywi9&#10;1U1sLZK6igQtPUihKkhvQ3bMBrOzIbvm8e+7hUJv8/E9Z7UZbC06an3lWEE6S0AQF05XXCo4n/ZP&#10;SxA+IGusHZOCkTxs1pOHFWba9fxF3TGUIoawz1CBCaHJpPSFIYt+5hriyF1dazFE2JZSt9jHcFvL&#10;eZK8SosVxwaDDeWGitvxbhW899hvn9Ndd7hd8/H7tPi8HFJS6nE6bN9ABBrCv/jP/aHj/OXLI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x+g/FAAAA3gAA&#10;AA8AAAAAAAAAAAAAAAAAqgIAAGRycy9kb3ducmV2LnhtbFBLBQYAAAAABAAEAPoAAACcAwAAAAA=&#10;">
                  <v:shape id="Freeform 64" o:spid="_x0000_s1051" style="position:absolute;left:608;top: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RisQA&#10;AADeAAAADwAAAGRycy9kb3ducmV2LnhtbERPTWvCQBC9C/0PyxR6001DW0PqKlateFIahV6n2WkS&#10;ujsbsqvGf+8WBG/zeJ8zmfXWiBN1vnGs4HmUgCAunW64UnDYfw4zED4gazSOScGFPMymD4MJ5tqd&#10;+YtORahEDGGfo4I6hDaX0pc1WfQj1xJH7td1FkOEXSV1h+cYbo1Mk+RNWmw4NtTY0qKm8q84WgXG&#10;cPqzn2ff68NHSmY13m2XRir19NjP30EE6sNdfHNvdJyfvbym8P9OvEF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mkYrEAAAA3gAAAA8AAAAAAAAAAAAAAAAAmAIAAGRycy9k&#10;b3ducmV2LnhtbFBLBQYAAAAABAAEAPUAAACJAwAAAAA=&#10;" path="m99,l36,23,2,78,,101r3,23l38,177r63,22l123,196r54,-35l199,98,196,76,161,21,99,xe" stroked="f">
                    <v:path arrowok="t" o:connecttype="custom" o:connectlocs="99,42;36,65;2,120;0,143;3,166;38,219;101,241;123,238;177,203;199,140;196,118;161,63;99,42" o:connectangles="0,0,0,0,0,0,0,0,0,0,0,0,0"/>
                  </v:shape>
                </v:group>
                <v:group id="Group 65" o:spid="_x0000_s1052" style="position:absolute;left:678;top:105;width:58;height:103" coordorigin="678,105" coordsize="5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B48QAAADeAAAADwAAAGRycy9kb3ducmV2LnhtbERPS4vCMBC+L/gfwgje&#10;1rS+kGoUkXXZgyz4APE2NGNbbCalybb13xtB2Nt8fM9ZrjtTioZqV1hWEA8jEMSp1QVnCs6n3ecc&#10;hPPIGkvLpOBBDtar3scSE21bPlBz9JkIIewSVJB7XyVSujQng25oK+LA3Wxt0AdYZ1LX2IZwU8pR&#10;FM2kwYJDQ44VbXNK78c/o+C7xXYzjr+a/f22fVxP09/LPialBv1uswDhqfP/4rf7R4f588l0DK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6/B48QAAADeAAAA&#10;DwAAAAAAAAAAAAAAAACqAgAAZHJzL2Rvd25yZXYueG1sUEsFBgAAAAAEAAQA+gAAAJsDAAAAAA==&#10;">
                  <v:shape id="Freeform 66" o:spid="_x0000_s1053"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f+cMA&#10;AADeAAAADwAAAGRycy9kb3ducmV2LnhtbERP22oCMRB9L/gPYQTfaqLYIlujaFtB+lQvHzAk082y&#10;m8mSpLr+fVMo9G0O5zqrzeA7caWYmsAaZlMFgtgE23Ct4XLePy5BpIxssQtMGu6UYLMePaywsuHG&#10;R7qeci1KCKcKNbic+0rKZBx5TNPQExfuK0SPucBYSxvxVsJ9J+dKPUuPDZcGhz29OjLt6dtr+FQf&#10;jZl1+51p5+fju4vtWzworSfjYfsCItOQ/8V/7oMt85eLpwX8vlN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3f+cMAAADeAAAADwAAAAAAAAAAAAAAAACYAgAAZHJzL2Rv&#10;d25yZXYueG1sUEsFBgAAAAAEAAQA9QAAAIgDAAAAAA==&#10;" path="m46,51r-34,l12,103r34,l46,51xe" fillcolor="#231f20" stroked="f">
                    <v:path arrowok="t" o:connecttype="custom" o:connectlocs="46,156;12,156;12,208;46,208;46,156" o:connectangles="0,0,0,0,0"/>
                  </v:shape>
                  <v:shape id="Freeform 67" o:spid="_x0000_s1054"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6YsMA&#10;AADeAAAADwAAAGRycy9kb3ducmV2LnhtbERP22oCMRB9L/gPYYS+1USpRbZG0baC9KlePmBIpptl&#10;N5MlSXX9e1Mo9G0O5zrL9eA7caGYmsAaphMFgtgE23Ct4XzaPS1ApIxssQtMGm6UYL0aPSyxsuHK&#10;B7occy1KCKcKNbic+0rKZBx5TJPQExfuO0SPucBYSxvxWsJ9J2dKvUiPDZcGhz29OTLt8cdr+FKf&#10;jZl2u61pZ6fDh4vte9wrrR/Hw+YVRKYh/4v/3Htb5i+e53P4faf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6YsMAAADeAAAADwAAAAAAAAAAAAAAAACYAgAAZHJzL2Rv&#10;d25yZXYueG1sUEsFBgAAAAAEAAQA9QAAAIgDAAAAAA==&#10;" path="m55,l3,,,3,,51r58,l58,3,55,xe" fillcolor="#231f20" stroked="f">
                    <v:path arrowok="t" o:connecttype="custom" o:connectlocs="55,105;3,105;0,108;0,156;58,156;58,108;55,105" o:connectangles="0,0,0,0,0,0,0"/>
                  </v:shape>
                </v:group>
                <v:group id="Group 68" o:spid="_x0000_s1055" style="position:absolute;left:692;top:69;width:31;height:31" coordorigin="692,69"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hie8QAAADeAAAADwAAAGRycy9kb3ducmV2LnhtbERPTYvCMBC9C/sfwgje&#10;NO26ilSjiKjsQYTVhWVvQzO2xWZSmtjWf28Ewds83ucsVp0pRUO1KywriEcRCOLU6oIzBb/n3XAG&#10;wnlkjaVlUnAnB6vlR2+BibYt/1Bz8pkIIewSVJB7XyVSujQng25kK+LAXWxt0AdYZ1LX2IZwU8rP&#10;KJpKgwWHhhwr2uSUXk83o2DfYrsex9vmcL1s7v/nyfHvEJNSg363noPw1Pm3+OX+1mH+7Gsy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9hie8QAAADeAAAA&#10;DwAAAAAAAAAAAAAAAACqAgAAZHJzL2Rvd25yZXYueG1sUEsFBgAAAAAEAAQA+gAAAJsDAAAAAA==&#10;">
                  <v:shape id="Freeform 69" o:spid="_x0000_s1056" style="position:absolute;left:692;top:69;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MY8UA&#10;AADeAAAADwAAAGRycy9kb3ducmV2LnhtbERP204CMRB9N+EfmjHxTVq5CFkpBDAGXzRh8QMm23F3&#10;ZTvdtHVZ+HpqQuLbnJzrLFa9bURHPtSONTwNFQjiwpmaSw1fh7fHOYgQkQ02jknDmQKsloO7BWbG&#10;nXhPXR5LkUI4ZKihirHNpAxFRRbD0LXEift23mJM0JfSeDylcNvIkVLP0mLNqaHClrYVFcf812rY&#10;vH7+7FTHx9nl4zB2nLu98hOtH+779QuISH38F9/c7ybNn0+mM/h7J90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MxjxQAAAN4AAAAPAAAAAAAAAAAAAAAAAJgCAABkcnMv&#10;ZG93bnJldi54bWxQSwUGAAAAAAQABAD1AAAAigMAAAAA&#10;" path="m23,l7,,,7,,24r7,7l23,31r7,-7l30,7,23,xe" fillcolor="#231f20" stroked="f">
                    <v:path arrowok="t" o:connecttype="custom" o:connectlocs="23,69;7,69;0,76;0,93;7,100;23,100;30,93;30,76;23,69" o:connectangles="0,0,0,0,0,0,0,0,0"/>
                  </v:shape>
                </v:group>
                <v:group id="Group 70" o:spid="_x0000_s1057" style="position:absolute;left:600;top:31;width:215;height:215" coordorigin="600,31"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ELU5LIAAAA&#10;3gAAAA8AAAAAAAAAAAAAAAAAqgIAAGRycy9kb3ducmV2LnhtbFBLBQYAAAAABAAEAPoAAACfAwAA&#10;AAA=&#10;">
                  <v:shape id="Freeform 71" o:spid="_x0000_s1058"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7NsUA&#10;AADeAAAADwAAAGRycy9kb3ducmV2LnhtbERPS2vCQBC+F/wPyxS81U2LjzS6ihQV2x58VPA6ZMck&#10;mp0N2VXjv3eFgrf5+J4zmjSmFBeqXWFZwXsnAkGcWl1wpmD3N3+LQTiPrLG0TApu5GAybr2MMNH2&#10;yhu6bH0mQgi7BBXk3leJlC7NyaDr2Io4cAdbG/QB1pnUNV5DuCnlRxT1pcGCQ0OOFX3llJ62Z6Pg&#10;5ztezXA9OOJ63+0v9uYgN78rpdqvzXQIwlPjn+J/91KH+XG39wmPd8IN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s2xQAAAN4AAAAPAAAAAAAAAAAAAAAAAJgCAABkcnMv&#10;ZG93bnJldi54bWxQSwUGAAAAAAQABAD1AAAAigMAAAAA&#10;" path="m107,l49,17,9,65,,103r1,23l44,194r55,21l122,214r20,-5l160,201r9,-6l116,195,92,194,38,160,19,108,21,88,57,36,107,20r60,l156,12,138,5,120,1,107,xe" fillcolor="#231f20" stroked="f">
                    <v:path arrowok="t" o:connecttype="custom" o:connectlocs="107,31;49,48;9,96;0,134;1,157;44,225;99,246;122,245;142,240;160,232;169,226;116,226;92,225;38,191;19,139;21,119;57,67;107,51;167,51;156,43;138,36;120,32;107,31" o:connectangles="0,0,0,0,0,0,0,0,0,0,0,0,0,0,0,0,0,0,0,0,0,0,0"/>
                  </v:shape>
                  <v:shape id="Freeform 72" o:spid="_x0000_s1059"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YFscA&#10;AADeAAAADwAAAGRycy9kb3ducmV2LnhtbESPzWvCQBDF70L/h2UKvemmRdIQXUXEln4c/ASvQ3ZM&#10;YrOzIbvV9L/vHARvM8yb995vOu9doy7UhdqzgedRAoq48Lbm0sBh/zbMQIWIbLHxTAb+KMB89jCY&#10;Ym79lbd02cVSiQmHHA1UMba51qGoyGEY+ZZYbiffOYyydqW2HV7F3DX6JUlS7bBmSaiwpWVFxc/u&#10;1xn4+szWK9y8nnFzHKfvR3fS2++1MU+P/WICKlIf7+Lb94eV+tk4FQDBkR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LmBbHAAAA3gAAAA8AAAAAAAAAAAAAAAAAmAIAAGRy&#10;cy9kb3ducmV2LnhtbFBLBQYAAAAABAAEAPUAAACMAwAAAAA=&#10;" path="m167,20r-60,l128,22r19,7l164,40r15,18l189,76r5,18l193,120r-40,63l116,195r53,l211,137r3,-18l213,94,209,74,202,56,191,41,173,24r-6,-4xe" fillcolor="#231f20" stroked="f">
                    <v:path arrowok="t" o:connecttype="custom" o:connectlocs="167,51;107,51;128,53;147,60;164,71;179,89;189,107;194,125;193,151;153,214;116,226;169,226;211,168;214,150;213,125;209,105;202,87;191,72;173,55;167,51" o:connectangles="0,0,0,0,0,0,0,0,0,0,0,0,0,0,0,0,0,0,0,0"/>
                  </v:shape>
                </v:group>
                <w10:anchorlock/>
              </v:group>
            </w:pict>
          </mc:Fallback>
        </mc:AlternateContent>
      </w:r>
    </w:p>
    <w:p w14:paraId="31C8BAB0" w14:textId="77777777" w:rsidR="00D33852" w:rsidRPr="003D338A" w:rsidRDefault="00D33852" w:rsidP="00D33852">
      <w:pPr>
        <w:pStyle w:val="BodyText"/>
        <w:rPr>
          <w:b/>
          <w:color w:val="294199" w:themeColor="accent5" w:themeShade="80"/>
          <w:sz w:val="20"/>
          <w:szCs w:val="20"/>
          <w:highlight w:val="yellow"/>
        </w:rPr>
      </w:pPr>
    </w:p>
    <w:p w14:paraId="31C8BAB1" w14:textId="77777777" w:rsidR="00D33852" w:rsidRPr="00266D81" w:rsidRDefault="00D33852" w:rsidP="00D33852">
      <w:pPr>
        <w:pStyle w:val="BodyText"/>
        <w:rPr>
          <w:rFonts w:ascii="Arial" w:hAnsi="Arial" w:cs="Arial"/>
          <w:sz w:val="20"/>
          <w:szCs w:val="20"/>
        </w:rPr>
      </w:pPr>
      <w:r w:rsidRPr="00266D81">
        <w:rPr>
          <w:rFonts w:ascii="Arial" w:hAnsi="Arial" w:cs="Arial"/>
          <w:i/>
          <w:sz w:val="20"/>
          <w:szCs w:val="20"/>
        </w:rPr>
        <w:t>Assessing Groundwater-Dependent Ecosystems: IESC Information Guidelines Explanatory Note</w:t>
      </w:r>
      <w:r w:rsidRPr="00266D81">
        <w:rPr>
          <w:rFonts w:ascii="Arial" w:hAnsi="Arial" w:cs="Arial"/>
          <w:sz w:val="20"/>
          <w:szCs w:val="20"/>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Pr="00266D81">
          <w:rPr>
            <w:rStyle w:val="Hyperlink"/>
            <w:rFonts w:ascii="Arial" w:hAnsi="Arial" w:cs="Arial"/>
            <w:color w:val="auto"/>
            <w:sz w:val="20"/>
            <w:szCs w:val="20"/>
          </w:rPr>
          <w:t>http://creativecommons.org/licenses/by/3.0/au/</w:t>
        </w:r>
      </w:hyperlink>
      <w:r w:rsidRPr="00266D81">
        <w:rPr>
          <w:rFonts w:ascii="Arial" w:hAnsi="Arial" w:cs="Arial"/>
          <w:sz w:val="20"/>
          <w:szCs w:val="20"/>
        </w:rPr>
        <w:t xml:space="preserve">. </w:t>
      </w:r>
    </w:p>
    <w:p w14:paraId="31C8BAB2" w14:textId="77777777" w:rsidR="00266D81" w:rsidRDefault="00266D81" w:rsidP="00D33852">
      <w:pPr>
        <w:pStyle w:val="BodyText"/>
        <w:rPr>
          <w:rFonts w:ascii="Arial" w:hAnsi="Arial" w:cs="Arial"/>
          <w:sz w:val="20"/>
          <w:szCs w:val="20"/>
        </w:rPr>
      </w:pPr>
    </w:p>
    <w:p w14:paraId="31C8BAB3" w14:textId="77777777" w:rsidR="00D33852" w:rsidRPr="00266D81" w:rsidRDefault="00D33852" w:rsidP="00D33852">
      <w:pPr>
        <w:pStyle w:val="BodyText"/>
        <w:rPr>
          <w:rFonts w:ascii="Arial" w:hAnsi="Arial" w:cs="Arial"/>
          <w:sz w:val="20"/>
          <w:szCs w:val="20"/>
        </w:rPr>
      </w:pPr>
      <w:r w:rsidRPr="00266D81">
        <w:rPr>
          <w:rFonts w:ascii="Arial" w:hAnsi="Arial" w:cs="Arial"/>
          <w:sz w:val="20"/>
          <w:szCs w:val="20"/>
        </w:rPr>
        <w:t>This report should be attributed as ‘</w:t>
      </w:r>
      <w:r w:rsidRPr="00266D81">
        <w:rPr>
          <w:rFonts w:ascii="Arial" w:hAnsi="Arial" w:cs="Arial"/>
          <w:i/>
          <w:sz w:val="20"/>
          <w:szCs w:val="20"/>
        </w:rPr>
        <w:t>Independent Expert Scientific Committee on Coal Seam Gas and Large Coal Mining Development: Assessing Groundwater-Dependent Ecosystems: IESC Information Guidelines Explanatory Note, Commonwealth of Australia, 2018’.</w:t>
      </w:r>
      <w:r w:rsidRPr="00266D81">
        <w:rPr>
          <w:rFonts w:ascii="Arial" w:hAnsi="Arial" w:cs="Arial"/>
          <w:sz w:val="20"/>
          <w:szCs w:val="20"/>
        </w:rPr>
        <w:t xml:space="preserve"> </w:t>
      </w:r>
    </w:p>
    <w:p w14:paraId="31C8BAB4" w14:textId="77777777" w:rsidR="00266D81" w:rsidRDefault="00266D81" w:rsidP="00D33852">
      <w:pPr>
        <w:pStyle w:val="BodyText"/>
        <w:rPr>
          <w:rFonts w:ascii="Arial" w:hAnsi="Arial" w:cs="Arial"/>
          <w:sz w:val="20"/>
          <w:szCs w:val="20"/>
        </w:rPr>
      </w:pPr>
    </w:p>
    <w:p w14:paraId="31C8BAB5" w14:textId="77777777" w:rsidR="00D33852" w:rsidRPr="00266D81" w:rsidRDefault="00D33852" w:rsidP="00D33852">
      <w:pPr>
        <w:pStyle w:val="BodyText"/>
        <w:rPr>
          <w:rFonts w:ascii="Arial" w:hAnsi="Arial" w:cs="Arial"/>
          <w:sz w:val="20"/>
          <w:szCs w:val="20"/>
        </w:rPr>
      </w:pPr>
      <w:r w:rsidRPr="00266D81">
        <w:rPr>
          <w:rFonts w:ascii="Arial" w:hAnsi="Arial" w:cs="Arial"/>
          <w:sz w:val="20"/>
          <w:szCs w:val="20"/>
        </w:rPr>
        <w:t xml:space="preserve">This publication is funded by the Australian Government Department of the Environment and Energy. The views and opinions expressed in this publication are those of the authors and do not necessarily reflect those of the Australian Government or the Minister </w:t>
      </w:r>
      <w:r w:rsidR="00266D81">
        <w:rPr>
          <w:rFonts w:ascii="Arial" w:hAnsi="Arial" w:cs="Arial"/>
          <w:sz w:val="20"/>
          <w:szCs w:val="20"/>
        </w:rPr>
        <w:t>for the Environment and Energy.</w:t>
      </w:r>
    </w:p>
    <w:p w14:paraId="31C8BAB6" w14:textId="77777777" w:rsidR="00D33852" w:rsidRPr="003D338A" w:rsidRDefault="00D33852" w:rsidP="00D33852">
      <w:pPr>
        <w:pStyle w:val="BodyText"/>
        <w:rPr>
          <w:rFonts w:eastAsiaTheme="minorEastAsia" w:cs="Calibri"/>
          <w:b/>
          <w:bCs/>
          <w:color w:val="1F487C"/>
          <w:sz w:val="28"/>
          <w:szCs w:val="28"/>
          <w:lang w:eastAsia="ja-JP"/>
        </w:rPr>
      </w:pPr>
      <w:r w:rsidRPr="003D338A">
        <w:rPr>
          <w:rFonts w:eastAsiaTheme="minorEastAsia" w:cs="Calibri"/>
          <w:b/>
          <w:bCs/>
          <w:color w:val="1F487C"/>
          <w:sz w:val="28"/>
          <w:szCs w:val="28"/>
          <w:lang w:eastAsia="ja-JP"/>
        </w:rPr>
        <w:t xml:space="preserve">Citation </w:t>
      </w:r>
    </w:p>
    <w:p w14:paraId="31C8BAB7" w14:textId="77777777" w:rsidR="00D33852" w:rsidRPr="00266D81" w:rsidRDefault="00D33852" w:rsidP="00D33852">
      <w:pPr>
        <w:pStyle w:val="BodyText"/>
        <w:rPr>
          <w:rFonts w:ascii="Arial" w:hAnsi="Arial" w:cs="Arial"/>
          <w:sz w:val="20"/>
          <w:szCs w:val="20"/>
        </w:rPr>
      </w:pPr>
      <w:r w:rsidRPr="00266D81">
        <w:rPr>
          <w:rFonts w:ascii="Arial" w:hAnsi="Arial" w:cs="Arial"/>
          <w:sz w:val="20"/>
          <w:szCs w:val="20"/>
        </w:rPr>
        <w:t>Doody TM, Hancock PJ, Pritchard JL. 2018. Assessing Groundwater-Dependent Ecosystems: IESC Information Guidelines Explanatory Note. A report prepared for the Independent Expert Scientific Committee on Coal Seam Gas and Large Coal Mining Development through the Department of the Environment and Energy</w:t>
      </w:r>
      <w:r w:rsidR="00266D81">
        <w:rPr>
          <w:rFonts w:ascii="Arial" w:hAnsi="Arial" w:cs="Arial"/>
          <w:sz w:val="20"/>
          <w:szCs w:val="20"/>
        </w:rPr>
        <w:t xml:space="preserve">. </w:t>
      </w:r>
    </w:p>
    <w:p w14:paraId="31C8BAB8" w14:textId="77777777" w:rsidR="00D33852" w:rsidRPr="003D338A" w:rsidRDefault="00D33852" w:rsidP="00D33852">
      <w:pPr>
        <w:pStyle w:val="BodyText"/>
        <w:rPr>
          <w:rFonts w:eastAsiaTheme="minorEastAsia" w:cs="Calibri"/>
          <w:b/>
          <w:bCs/>
          <w:color w:val="1F487C"/>
          <w:sz w:val="28"/>
          <w:szCs w:val="28"/>
          <w:lang w:eastAsia="ja-JP"/>
        </w:rPr>
      </w:pPr>
      <w:r w:rsidRPr="003D338A">
        <w:rPr>
          <w:rFonts w:eastAsiaTheme="minorEastAsia" w:cs="Calibri"/>
          <w:b/>
          <w:bCs/>
          <w:color w:val="1F487C"/>
          <w:sz w:val="28"/>
          <w:szCs w:val="28"/>
          <w:lang w:eastAsia="ja-JP"/>
        </w:rPr>
        <w:t xml:space="preserve">Acknowledgements </w:t>
      </w:r>
    </w:p>
    <w:p w14:paraId="31C8BAB9" w14:textId="77777777" w:rsidR="00D33852" w:rsidRPr="00266D81" w:rsidRDefault="00D33852" w:rsidP="00D33852">
      <w:pPr>
        <w:pStyle w:val="Default"/>
        <w:rPr>
          <w:color w:val="auto"/>
          <w:sz w:val="20"/>
          <w:szCs w:val="20"/>
        </w:rPr>
      </w:pPr>
      <w:r w:rsidRPr="00266D81">
        <w:rPr>
          <w:color w:val="auto"/>
          <w:sz w:val="20"/>
          <w:szCs w:val="20"/>
        </w:rPr>
        <w:t xml:space="preserve">This report was finalised by the Independent Expert Scientific Committee on Coal Seam Gas and Large Coal Mining Development (IESC) based on consideration of work commissioned by the Office of Water Science on behalf of the Independent Expert Scientific Committee on Coal Seam Gas and Large Coal Mining Development (IESC) in January 2018 through the Department of the Environment and Energy. </w:t>
      </w:r>
    </w:p>
    <w:p w14:paraId="31C8BABA" w14:textId="77777777" w:rsidR="00D33852" w:rsidRPr="00266D81" w:rsidRDefault="00D33852" w:rsidP="00D33852">
      <w:pPr>
        <w:pStyle w:val="Default"/>
        <w:rPr>
          <w:color w:val="auto"/>
          <w:sz w:val="20"/>
          <w:szCs w:val="20"/>
        </w:rPr>
      </w:pPr>
    </w:p>
    <w:p w14:paraId="31C8BABB" w14:textId="77777777" w:rsidR="00D33852" w:rsidRPr="00266D81" w:rsidRDefault="00D33852" w:rsidP="00D33852">
      <w:pPr>
        <w:pStyle w:val="Default"/>
        <w:rPr>
          <w:color w:val="auto"/>
          <w:sz w:val="20"/>
          <w:szCs w:val="20"/>
        </w:rPr>
      </w:pPr>
      <w:r w:rsidRPr="00266D81">
        <w:rPr>
          <w:color w:val="auto"/>
          <w:sz w:val="20"/>
          <w:szCs w:val="20"/>
        </w:rPr>
        <w:t xml:space="preserve">Main contributors of scientific input to this work were Andrew </w:t>
      </w:r>
      <w:proofErr w:type="spellStart"/>
      <w:r w:rsidRPr="00266D81">
        <w:rPr>
          <w:color w:val="auto"/>
          <w:sz w:val="20"/>
          <w:szCs w:val="20"/>
        </w:rPr>
        <w:t>Boulton</w:t>
      </w:r>
      <w:proofErr w:type="spellEnd"/>
      <w:r w:rsidRPr="00266D81">
        <w:rPr>
          <w:color w:val="auto"/>
          <w:sz w:val="20"/>
          <w:szCs w:val="20"/>
        </w:rPr>
        <w:t xml:space="preserve"> (IESC), and XXXX</w:t>
      </w:r>
    </w:p>
    <w:p w14:paraId="31C8BABC" w14:textId="77777777" w:rsidR="00D33852" w:rsidRPr="003D338A" w:rsidRDefault="00D33852" w:rsidP="00D33852">
      <w:pPr>
        <w:pStyle w:val="Default"/>
        <w:rPr>
          <w:color w:val="auto"/>
          <w:sz w:val="20"/>
          <w:szCs w:val="20"/>
        </w:rPr>
      </w:pPr>
    </w:p>
    <w:p w14:paraId="31C8BABD" w14:textId="77777777" w:rsidR="00D33852" w:rsidRPr="003D338A" w:rsidRDefault="00D33852" w:rsidP="00D33852">
      <w:pPr>
        <w:pStyle w:val="BodyText"/>
        <w:rPr>
          <w:rFonts w:eastAsiaTheme="minorEastAsia" w:cs="Calibri"/>
          <w:b/>
          <w:bCs/>
          <w:color w:val="1F487C"/>
          <w:sz w:val="28"/>
          <w:szCs w:val="28"/>
          <w:lang w:eastAsia="ja-JP"/>
        </w:rPr>
      </w:pPr>
      <w:r w:rsidRPr="003D338A">
        <w:rPr>
          <w:rFonts w:eastAsiaTheme="minorEastAsia" w:cs="Calibri"/>
          <w:b/>
          <w:bCs/>
          <w:color w:val="1F487C"/>
          <w:sz w:val="28"/>
          <w:szCs w:val="28"/>
          <w:lang w:eastAsia="ja-JP"/>
        </w:rPr>
        <w:t>Contact details</w:t>
      </w:r>
    </w:p>
    <w:p w14:paraId="31C8BABE" w14:textId="77777777" w:rsidR="00D33852" w:rsidRPr="00266D81" w:rsidRDefault="00D33852" w:rsidP="00266D81">
      <w:pPr>
        <w:pStyle w:val="BodyText"/>
        <w:widowControl w:val="0"/>
        <w:autoSpaceDE w:val="0"/>
        <w:autoSpaceDN w:val="0"/>
        <w:adjustRightInd w:val="0"/>
        <w:spacing w:before="0" w:after="0" w:line="240" w:lineRule="auto"/>
        <w:rPr>
          <w:rFonts w:ascii="Arial" w:eastAsia="Times New Roman" w:hAnsi="Arial" w:cs="Arial"/>
          <w:color w:val="auto"/>
          <w:sz w:val="20"/>
          <w:szCs w:val="20"/>
          <w:lang w:val="en-US"/>
        </w:rPr>
      </w:pPr>
      <w:r w:rsidRPr="00266D81">
        <w:rPr>
          <w:rFonts w:ascii="Arial" w:eastAsia="Times New Roman" w:hAnsi="Arial" w:cs="Arial"/>
          <w:color w:val="auto"/>
          <w:sz w:val="20"/>
          <w:szCs w:val="20"/>
          <w:lang w:val="en-US"/>
        </w:rPr>
        <w:t>For information about this report or about the work of the IESC please contact:</w:t>
      </w:r>
    </w:p>
    <w:p w14:paraId="31C8BABF" w14:textId="77777777" w:rsidR="00D33852" w:rsidRPr="00266D81" w:rsidRDefault="00D33852" w:rsidP="00266D81">
      <w:pPr>
        <w:pStyle w:val="BodyText"/>
        <w:widowControl w:val="0"/>
        <w:autoSpaceDE w:val="0"/>
        <w:autoSpaceDN w:val="0"/>
        <w:adjustRightInd w:val="0"/>
        <w:spacing w:before="0" w:after="0" w:line="240" w:lineRule="auto"/>
        <w:rPr>
          <w:rFonts w:ascii="Arial" w:eastAsia="Times New Roman" w:hAnsi="Arial" w:cs="Arial"/>
          <w:color w:val="auto"/>
          <w:sz w:val="20"/>
          <w:szCs w:val="20"/>
          <w:lang w:val="en-US"/>
        </w:rPr>
      </w:pPr>
      <w:r w:rsidRPr="00266D81">
        <w:rPr>
          <w:rFonts w:ascii="Arial" w:eastAsia="Times New Roman" w:hAnsi="Arial" w:cs="Arial"/>
          <w:color w:val="auto"/>
          <w:sz w:val="20"/>
          <w:szCs w:val="20"/>
          <w:lang w:val="en-US"/>
        </w:rPr>
        <w:t>IESC Secretariat</w:t>
      </w:r>
    </w:p>
    <w:p w14:paraId="31C8BAC0" w14:textId="77777777" w:rsidR="00D33852" w:rsidRPr="00266D81" w:rsidRDefault="00D33852" w:rsidP="00266D81">
      <w:pPr>
        <w:pStyle w:val="BodyText"/>
        <w:widowControl w:val="0"/>
        <w:autoSpaceDE w:val="0"/>
        <w:autoSpaceDN w:val="0"/>
        <w:adjustRightInd w:val="0"/>
        <w:spacing w:before="0" w:after="0" w:line="240" w:lineRule="auto"/>
        <w:rPr>
          <w:rFonts w:ascii="Arial" w:eastAsia="Times New Roman" w:hAnsi="Arial" w:cs="Arial"/>
          <w:color w:val="auto"/>
          <w:sz w:val="20"/>
          <w:szCs w:val="20"/>
          <w:lang w:val="en-US"/>
        </w:rPr>
      </w:pPr>
      <w:r w:rsidRPr="00266D81">
        <w:rPr>
          <w:rFonts w:ascii="Arial" w:eastAsia="Times New Roman" w:hAnsi="Arial" w:cs="Arial"/>
          <w:color w:val="auto"/>
          <w:sz w:val="20"/>
          <w:szCs w:val="20"/>
          <w:lang w:val="en-US"/>
        </w:rPr>
        <w:t>Office of Water Science</w:t>
      </w:r>
    </w:p>
    <w:p w14:paraId="31C8BAC1" w14:textId="77777777" w:rsidR="00D33852" w:rsidRPr="00266D81" w:rsidRDefault="00D33852" w:rsidP="00266D81">
      <w:pPr>
        <w:pStyle w:val="BodyText"/>
        <w:widowControl w:val="0"/>
        <w:autoSpaceDE w:val="0"/>
        <w:autoSpaceDN w:val="0"/>
        <w:adjustRightInd w:val="0"/>
        <w:spacing w:before="0" w:after="0" w:line="240" w:lineRule="auto"/>
        <w:rPr>
          <w:rFonts w:ascii="Arial" w:eastAsia="Times New Roman" w:hAnsi="Arial" w:cs="Arial"/>
          <w:color w:val="auto"/>
          <w:sz w:val="20"/>
          <w:szCs w:val="20"/>
          <w:lang w:val="en-US"/>
        </w:rPr>
      </w:pPr>
      <w:r w:rsidRPr="00266D81">
        <w:rPr>
          <w:rFonts w:ascii="Arial" w:eastAsia="Times New Roman" w:hAnsi="Arial" w:cs="Arial"/>
          <w:color w:val="auto"/>
          <w:sz w:val="20"/>
          <w:szCs w:val="20"/>
          <w:lang w:val="en-US"/>
        </w:rPr>
        <w:t>Department of the Environment and Energy</w:t>
      </w:r>
    </w:p>
    <w:p w14:paraId="31C8BAC2" w14:textId="77777777" w:rsidR="00D33852" w:rsidRPr="00266D81" w:rsidRDefault="00D33852" w:rsidP="00266D81">
      <w:pPr>
        <w:pStyle w:val="BodyText"/>
        <w:widowControl w:val="0"/>
        <w:autoSpaceDE w:val="0"/>
        <w:autoSpaceDN w:val="0"/>
        <w:adjustRightInd w:val="0"/>
        <w:spacing w:before="0" w:after="0" w:line="240" w:lineRule="auto"/>
        <w:rPr>
          <w:rFonts w:ascii="Arial" w:eastAsia="Times New Roman" w:hAnsi="Arial" w:cs="Arial"/>
          <w:color w:val="auto"/>
          <w:sz w:val="20"/>
          <w:szCs w:val="20"/>
          <w:lang w:val="en-US"/>
        </w:rPr>
      </w:pPr>
      <w:r w:rsidRPr="00266D81">
        <w:rPr>
          <w:rFonts w:ascii="Arial" w:eastAsia="Times New Roman" w:hAnsi="Arial" w:cs="Arial"/>
          <w:color w:val="auto"/>
          <w:sz w:val="20"/>
          <w:szCs w:val="20"/>
          <w:lang w:val="en-US"/>
        </w:rPr>
        <w:t>GPO Box 787</w:t>
      </w:r>
    </w:p>
    <w:p w14:paraId="31C8BAC3" w14:textId="77777777" w:rsidR="00D33852" w:rsidRPr="00266D81" w:rsidRDefault="00D33852" w:rsidP="00266D81">
      <w:pPr>
        <w:pStyle w:val="BodyText"/>
        <w:widowControl w:val="0"/>
        <w:autoSpaceDE w:val="0"/>
        <w:autoSpaceDN w:val="0"/>
        <w:adjustRightInd w:val="0"/>
        <w:spacing w:before="0" w:after="0" w:line="240" w:lineRule="auto"/>
        <w:rPr>
          <w:rFonts w:ascii="Arial" w:eastAsia="Times New Roman" w:hAnsi="Arial" w:cs="Arial"/>
          <w:color w:val="auto"/>
          <w:sz w:val="20"/>
          <w:szCs w:val="20"/>
          <w:lang w:val="en-US"/>
        </w:rPr>
      </w:pPr>
      <w:proofErr w:type="gramStart"/>
      <w:r w:rsidRPr="00266D81">
        <w:rPr>
          <w:rFonts w:ascii="Arial" w:eastAsia="Times New Roman" w:hAnsi="Arial" w:cs="Arial"/>
          <w:color w:val="auto"/>
          <w:sz w:val="20"/>
          <w:szCs w:val="20"/>
          <w:lang w:val="en-US"/>
        </w:rPr>
        <w:t>CANBERRA  ACT</w:t>
      </w:r>
      <w:proofErr w:type="gramEnd"/>
      <w:r w:rsidRPr="00266D81">
        <w:rPr>
          <w:rFonts w:ascii="Arial" w:eastAsia="Times New Roman" w:hAnsi="Arial" w:cs="Arial"/>
          <w:color w:val="auto"/>
          <w:sz w:val="20"/>
          <w:szCs w:val="20"/>
          <w:lang w:val="en-US"/>
        </w:rPr>
        <w:t xml:space="preserve">  2601</w:t>
      </w:r>
    </w:p>
    <w:p w14:paraId="31C8BAC4" w14:textId="77777777" w:rsidR="00D33852" w:rsidRDefault="00D33852" w:rsidP="00266D81">
      <w:pPr>
        <w:pStyle w:val="BodyText"/>
        <w:widowControl w:val="0"/>
        <w:autoSpaceDE w:val="0"/>
        <w:autoSpaceDN w:val="0"/>
        <w:adjustRightInd w:val="0"/>
        <w:spacing w:before="0" w:after="0" w:line="240" w:lineRule="auto"/>
        <w:sectPr w:rsidR="00D33852" w:rsidSect="00D33852">
          <w:headerReference w:type="even" r:id="rId19"/>
          <w:headerReference w:type="default" r:id="rId20"/>
          <w:footerReference w:type="default" r:id="rId21"/>
          <w:headerReference w:type="first" r:id="rId22"/>
          <w:pgSz w:w="11906" w:h="16838" w:code="9"/>
          <w:pgMar w:top="720" w:right="720" w:bottom="720" w:left="720" w:header="510" w:footer="624" w:gutter="0"/>
          <w:cols w:space="850"/>
          <w:docGrid w:linePitch="360"/>
        </w:sectPr>
      </w:pPr>
      <w:r w:rsidRPr="00266D81">
        <w:rPr>
          <w:rFonts w:ascii="Arial" w:eastAsia="Times New Roman" w:hAnsi="Arial" w:cs="Arial"/>
          <w:color w:val="auto"/>
          <w:sz w:val="20"/>
          <w:szCs w:val="20"/>
          <w:lang w:val="en-US"/>
        </w:rPr>
        <w:t>This report can be accessed at</w:t>
      </w:r>
      <w:r w:rsidRPr="00266D81">
        <w:rPr>
          <w:rFonts w:ascii="Arial" w:hAnsi="Arial" w:cs="Arial"/>
          <w:b/>
          <w:sz w:val="20"/>
          <w:szCs w:val="20"/>
          <w:lang w:val="en-US"/>
        </w:rPr>
        <w:t xml:space="preserve"> </w:t>
      </w:r>
      <w:hyperlink r:id="rId23" w:history="1">
        <w:r w:rsidRPr="00266D81">
          <w:rPr>
            <w:rStyle w:val="Hyperlink"/>
            <w:rFonts w:ascii="Arial" w:hAnsi="Arial" w:cs="Arial"/>
            <w:sz w:val="20"/>
            <w:szCs w:val="20"/>
            <w:lang w:val="en-US"/>
          </w:rPr>
          <w:t>http://www.iesc.environment.gov.au/</w:t>
        </w:r>
      </w:hyperlink>
    </w:p>
    <w:p w14:paraId="31C8BAC5" w14:textId="77777777" w:rsidR="00A943B2" w:rsidRDefault="00A943B2" w:rsidP="00F85AB4">
      <w:pPr>
        <w:pStyle w:val="Heading1noTOC"/>
      </w:pPr>
      <w:r w:rsidRPr="00890BD7">
        <w:lastRenderedPageBreak/>
        <w:t>Contents</w:t>
      </w:r>
    </w:p>
    <w:p w14:paraId="31C8BAC6" w14:textId="77777777" w:rsidR="00B553BC" w:rsidRDefault="00B90057">
      <w:pPr>
        <w:pStyle w:val="TOC1"/>
        <w:rPr>
          <w:rFonts w:asciiTheme="minorHAnsi" w:eastAsiaTheme="minorEastAsia" w:hAnsiTheme="minorHAnsi" w:cstheme="minorBidi"/>
          <w:b w:val="0"/>
          <w:color w:val="auto"/>
        </w:rPr>
      </w:pPr>
      <w:r>
        <w:fldChar w:fldCharType="begin"/>
      </w:r>
      <w:r>
        <w:instrText xml:space="preserve"> TOC \o "3-3" \h \z \t "Heading 1,1,Heading 2,2,Heading 9,1,PartTitle,1,Heading 1 not numbered,1,Heading 2 not numbered,2,Appendix Heading 1 base,1,Appendix Heading 2,2" </w:instrText>
      </w:r>
      <w:r>
        <w:fldChar w:fldCharType="separate"/>
      </w:r>
      <w:hyperlink w:anchor="_Toc509996451" w:history="1">
        <w:r w:rsidR="00B553BC" w:rsidRPr="009B689F">
          <w:rPr>
            <w:rStyle w:val="Hyperlink"/>
          </w:rPr>
          <w:t>Executive Summary</w:t>
        </w:r>
        <w:r w:rsidR="00B553BC">
          <w:rPr>
            <w:webHidden/>
          </w:rPr>
          <w:tab/>
        </w:r>
        <w:r w:rsidR="00B553BC">
          <w:rPr>
            <w:webHidden/>
          </w:rPr>
          <w:fldChar w:fldCharType="begin"/>
        </w:r>
        <w:r w:rsidR="00B553BC">
          <w:rPr>
            <w:webHidden/>
          </w:rPr>
          <w:instrText xml:space="preserve"> PAGEREF _Toc509996451 \h </w:instrText>
        </w:r>
        <w:r w:rsidR="00B553BC">
          <w:rPr>
            <w:webHidden/>
          </w:rPr>
        </w:r>
        <w:r w:rsidR="00B553BC">
          <w:rPr>
            <w:webHidden/>
          </w:rPr>
          <w:fldChar w:fldCharType="separate"/>
        </w:r>
        <w:r w:rsidR="00E96B43">
          <w:rPr>
            <w:webHidden/>
          </w:rPr>
          <w:t>8</w:t>
        </w:r>
        <w:r w:rsidR="00B553BC">
          <w:rPr>
            <w:webHidden/>
          </w:rPr>
          <w:fldChar w:fldCharType="end"/>
        </w:r>
      </w:hyperlink>
    </w:p>
    <w:p w14:paraId="31C8BAC7" w14:textId="77777777" w:rsidR="00B553BC" w:rsidRDefault="00085933">
      <w:pPr>
        <w:pStyle w:val="TOC1"/>
        <w:rPr>
          <w:rFonts w:asciiTheme="minorHAnsi" w:eastAsiaTheme="minorEastAsia" w:hAnsiTheme="minorHAnsi" w:cstheme="minorBidi"/>
          <w:b w:val="0"/>
          <w:color w:val="auto"/>
        </w:rPr>
      </w:pPr>
      <w:hyperlink w:anchor="_Toc509996452" w:history="1">
        <w:r w:rsidR="00B553BC" w:rsidRPr="009B689F">
          <w:rPr>
            <w:rStyle w:val="Hyperlink"/>
          </w:rPr>
          <w:t>1</w:t>
        </w:r>
        <w:r w:rsidR="00B553BC">
          <w:rPr>
            <w:rFonts w:asciiTheme="minorHAnsi" w:eastAsiaTheme="minorEastAsia" w:hAnsiTheme="minorHAnsi" w:cstheme="minorBidi"/>
            <w:b w:val="0"/>
            <w:color w:val="auto"/>
          </w:rPr>
          <w:tab/>
        </w:r>
        <w:r w:rsidR="00B553BC" w:rsidRPr="009B689F">
          <w:rPr>
            <w:rStyle w:val="Hyperlink"/>
          </w:rPr>
          <w:t>Background</w:t>
        </w:r>
        <w:r w:rsidR="00B553BC">
          <w:rPr>
            <w:webHidden/>
          </w:rPr>
          <w:tab/>
        </w:r>
        <w:r w:rsidR="00B553BC">
          <w:rPr>
            <w:webHidden/>
          </w:rPr>
          <w:fldChar w:fldCharType="begin"/>
        </w:r>
        <w:r w:rsidR="00B553BC">
          <w:rPr>
            <w:webHidden/>
          </w:rPr>
          <w:instrText xml:space="preserve"> PAGEREF _Toc509996452 \h </w:instrText>
        </w:r>
        <w:r w:rsidR="00B553BC">
          <w:rPr>
            <w:webHidden/>
          </w:rPr>
        </w:r>
        <w:r w:rsidR="00B553BC">
          <w:rPr>
            <w:webHidden/>
          </w:rPr>
          <w:fldChar w:fldCharType="separate"/>
        </w:r>
        <w:r w:rsidR="00E96B43">
          <w:rPr>
            <w:webHidden/>
          </w:rPr>
          <w:t>10</w:t>
        </w:r>
        <w:r w:rsidR="00B553BC">
          <w:rPr>
            <w:webHidden/>
          </w:rPr>
          <w:fldChar w:fldCharType="end"/>
        </w:r>
      </w:hyperlink>
    </w:p>
    <w:p w14:paraId="31C8BAC8" w14:textId="77777777" w:rsidR="00B553BC" w:rsidRDefault="00085933">
      <w:pPr>
        <w:pStyle w:val="TOC2"/>
        <w:rPr>
          <w:rFonts w:asciiTheme="minorHAnsi" w:eastAsiaTheme="minorEastAsia" w:hAnsiTheme="minorHAnsi" w:cstheme="minorBidi"/>
          <w:color w:val="auto"/>
        </w:rPr>
      </w:pPr>
      <w:hyperlink w:anchor="_Toc509996453" w:history="1">
        <w:r w:rsidR="00B553BC" w:rsidRPr="009B689F">
          <w:rPr>
            <w:rStyle w:val="Hyperlink"/>
          </w:rPr>
          <w:t>1.1</w:t>
        </w:r>
        <w:r w:rsidR="00B553BC">
          <w:rPr>
            <w:rFonts w:asciiTheme="minorHAnsi" w:eastAsiaTheme="minorEastAsia" w:hAnsiTheme="minorHAnsi" w:cstheme="minorBidi"/>
            <w:color w:val="auto"/>
          </w:rPr>
          <w:tab/>
        </w:r>
        <w:r w:rsidR="00B553BC" w:rsidRPr="009B689F">
          <w:rPr>
            <w:rStyle w:val="Hyperlink"/>
          </w:rPr>
          <w:t>Purpose</w:t>
        </w:r>
        <w:r w:rsidR="00B553BC">
          <w:rPr>
            <w:webHidden/>
          </w:rPr>
          <w:tab/>
          <w:t>………………………………………………………………………………………………………………………………………..</w:t>
        </w:r>
        <w:r w:rsidR="00B553BC">
          <w:rPr>
            <w:webHidden/>
          </w:rPr>
          <w:fldChar w:fldCharType="begin"/>
        </w:r>
        <w:r w:rsidR="00B553BC">
          <w:rPr>
            <w:webHidden/>
          </w:rPr>
          <w:instrText xml:space="preserve"> PAGEREF _Toc509996453 \h </w:instrText>
        </w:r>
        <w:r w:rsidR="00B553BC">
          <w:rPr>
            <w:webHidden/>
          </w:rPr>
        </w:r>
        <w:r w:rsidR="00B553BC">
          <w:rPr>
            <w:webHidden/>
          </w:rPr>
          <w:fldChar w:fldCharType="separate"/>
        </w:r>
        <w:r w:rsidR="00E96B43">
          <w:rPr>
            <w:webHidden/>
          </w:rPr>
          <w:t>10</w:t>
        </w:r>
        <w:r w:rsidR="00B553BC">
          <w:rPr>
            <w:webHidden/>
          </w:rPr>
          <w:fldChar w:fldCharType="end"/>
        </w:r>
      </w:hyperlink>
    </w:p>
    <w:p w14:paraId="31C8BAC9" w14:textId="77777777" w:rsidR="00B553BC" w:rsidRDefault="00085933">
      <w:pPr>
        <w:pStyle w:val="TOC2"/>
        <w:rPr>
          <w:rFonts w:asciiTheme="minorHAnsi" w:eastAsiaTheme="minorEastAsia" w:hAnsiTheme="minorHAnsi" w:cstheme="minorBidi"/>
          <w:color w:val="auto"/>
        </w:rPr>
      </w:pPr>
      <w:hyperlink w:anchor="_Toc509996454" w:history="1">
        <w:r w:rsidR="00B553BC" w:rsidRPr="009B689F">
          <w:rPr>
            <w:rStyle w:val="Hyperlink"/>
          </w:rPr>
          <w:t>1.2</w:t>
        </w:r>
        <w:r w:rsidR="00B553BC">
          <w:rPr>
            <w:rFonts w:asciiTheme="minorHAnsi" w:eastAsiaTheme="minorEastAsia" w:hAnsiTheme="minorHAnsi" w:cstheme="minorBidi"/>
            <w:color w:val="auto"/>
          </w:rPr>
          <w:tab/>
        </w:r>
        <w:r w:rsidR="00B553BC" w:rsidRPr="009B689F">
          <w:rPr>
            <w:rStyle w:val="Hyperlink"/>
          </w:rPr>
          <w:t>Legislative context</w:t>
        </w:r>
        <w:r w:rsidR="00B553BC">
          <w:rPr>
            <w:webHidden/>
          </w:rPr>
          <w:tab/>
        </w:r>
        <w:r w:rsidR="00B553BC">
          <w:rPr>
            <w:webHidden/>
          </w:rPr>
          <w:fldChar w:fldCharType="begin"/>
        </w:r>
        <w:r w:rsidR="00B553BC">
          <w:rPr>
            <w:webHidden/>
          </w:rPr>
          <w:instrText xml:space="preserve"> PAGEREF _Toc509996454 \h </w:instrText>
        </w:r>
        <w:r w:rsidR="00B553BC">
          <w:rPr>
            <w:webHidden/>
          </w:rPr>
        </w:r>
        <w:r w:rsidR="00B553BC">
          <w:rPr>
            <w:webHidden/>
          </w:rPr>
          <w:fldChar w:fldCharType="separate"/>
        </w:r>
        <w:r w:rsidR="00E96B43">
          <w:rPr>
            <w:webHidden/>
          </w:rPr>
          <w:t>10</w:t>
        </w:r>
        <w:r w:rsidR="00B553BC">
          <w:rPr>
            <w:webHidden/>
          </w:rPr>
          <w:fldChar w:fldCharType="end"/>
        </w:r>
      </w:hyperlink>
    </w:p>
    <w:p w14:paraId="31C8BACA" w14:textId="77777777" w:rsidR="00B553BC" w:rsidRDefault="00085933">
      <w:pPr>
        <w:pStyle w:val="TOC1"/>
        <w:rPr>
          <w:rFonts w:asciiTheme="minorHAnsi" w:eastAsiaTheme="minorEastAsia" w:hAnsiTheme="minorHAnsi" w:cstheme="minorBidi"/>
          <w:b w:val="0"/>
          <w:color w:val="auto"/>
        </w:rPr>
      </w:pPr>
      <w:hyperlink w:anchor="_Toc509996455" w:history="1">
        <w:r w:rsidR="00B553BC" w:rsidRPr="009B689F">
          <w:rPr>
            <w:rStyle w:val="Hyperlink"/>
          </w:rPr>
          <w:t>2</w:t>
        </w:r>
        <w:r w:rsidR="00B553BC">
          <w:rPr>
            <w:rFonts w:asciiTheme="minorHAnsi" w:eastAsiaTheme="minorEastAsia" w:hAnsiTheme="minorHAnsi" w:cstheme="minorBidi"/>
            <w:b w:val="0"/>
            <w:color w:val="auto"/>
          </w:rPr>
          <w:tab/>
        </w:r>
        <w:r w:rsidR="00B553BC" w:rsidRPr="009B689F">
          <w:rPr>
            <w:rStyle w:val="Hyperlink"/>
          </w:rPr>
          <w:t>Groundwater-dependent ecosystems</w:t>
        </w:r>
        <w:r w:rsidR="00B553BC">
          <w:rPr>
            <w:webHidden/>
          </w:rPr>
          <w:tab/>
        </w:r>
        <w:r w:rsidR="00B553BC">
          <w:rPr>
            <w:webHidden/>
          </w:rPr>
          <w:fldChar w:fldCharType="begin"/>
        </w:r>
        <w:r w:rsidR="00B553BC">
          <w:rPr>
            <w:webHidden/>
          </w:rPr>
          <w:instrText xml:space="preserve"> PAGEREF _Toc509996455 \h </w:instrText>
        </w:r>
        <w:r w:rsidR="00B553BC">
          <w:rPr>
            <w:webHidden/>
          </w:rPr>
        </w:r>
        <w:r w:rsidR="00B553BC">
          <w:rPr>
            <w:webHidden/>
          </w:rPr>
          <w:fldChar w:fldCharType="separate"/>
        </w:r>
        <w:r w:rsidR="00E96B43">
          <w:rPr>
            <w:webHidden/>
          </w:rPr>
          <w:t>11</w:t>
        </w:r>
        <w:r w:rsidR="00B553BC">
          <w:rPr>
            <w:webHidden/>
          </w:rPr>
          <w:fldChar w:fldCharType="end"/>
        </w:r>
      </w:hyperlink>
    </w:p>
    <w:p w14:paraId="31C8BACB" w14:textId="77777777" w:rsidR="00B553BC" w:rsidRDefault="00085933">
      <w:pPr>
        <w:pStyle w:val="TOC2"/>
        <w:rPr>
          <w:rFonts w:asciiTheme="minorHAnsi" w:eastAsiaTheme="minorEastAsia" w:hAnsiTheme="minorHAnsi" w:cstheme="minorBidi"/>
          <w:color w:val="auto"/>
        </w:rPr>
      </w:pPr>
      <w:hyperlink w:anchor="_Toc509996456" w:history="1">
        <w:r w:rsidR="00B553BC" w:rsidRPr="009B689F">
          <w:rPr>
            <w:rStyle w:val="Hyperlink"/>
          </w:rPr>
          <w:t>2.1</w:t>
        </w:r>
        <w:r w:rsidR="00B553BC">
          <w:rPr>
            <w:rFonts w:asciiTheme="minorHAnsi" w:eastAsiaTheme="minorEastAsia" w:hAnsiTheme="minorHAnsi" w:cstheme="minorBidi"/>
            <w:color w:val="auto"/>
          </w:rPr>
          <w:tab/>
        </w:r>
        <w:r w:rsidR="00B553BC" w:rsidRPr="009B689F">
          <w:rPr>
            <w:rStyle w:val="Hyperlink"/>
          </w:rPr>
          <w:t>GDE typology</w:t>
        </w:r>
        <w:r w:rsidR="00B553BC">
          <w:rPr>
            <w:webHidden/>
          </w:rPr>
          <w:tab/>
        </w:r>
        <w:r w:rsidR="00B553BC">
          <w:rPr>
            <w:webHidden/>
          </w:rPr>
          <w:fldChar w:fldCharType="begin"/>
        </w:r>
        <w:r w:rsidR="00B553BC">
          <w:rPr>
            <w:webHidden/>
          </w:rPr>
          <w:instrText xml:space="preserve"> PAGEREF _Toc509996456 \h </w:instrText>
        </w:r>
        <w:r w:rsidR="00B553BC">
          <w:rPr>
            <w:webHidden/>
          </w:rPr>
        </w:r>
        <w:r w:rsidR="00B553BC">
          <w:rPr>
            <w:webHidden/>
          </w:rPr>
          <w:fldChar w:fldCharType="separate"/>
        </w:r>
        <w:r w:rsidR="00E96B43">
          <w:rPr>
            <w:webHidden/>
          </w:rPr>
          <w:t>11</w:t>
        </w:r>
        <w:r w:rsidR="00B553BC">
          <w:rPr>
            <w:webHidden/>
          </w:rPr>
          <w:fldChar w:fldCharType="end"/>
        </w:r>
      </w:hyperlink>
    </w:p>
    <w:p w14:paraId="31C8BACC" w14:textId="77777777" w:rsidR="00B553BC" w:rsidRDefault="00085933">
      <w:pPr>
        <w:pStyle w:val="TOC2"/>
        <w:rPr>
          <w:rFonts w:asciiTheme="minorHAnsi" w:eastAsiaTheme="minorEastAsia" w:hAnsiTheme="minorHAnsi" w:cstheme="minorBidi"/>
          <w:color w:val="auto"/>
        </w:rPr>
      </w:pPr>
      <w:hyperlink w:anchor="_Toc509996457" w:history="1">
        <w:r w:rsidR="00B553BC" w:rsidRPr="009B689F">
          <w:rPr>
            <w:rStyle w:val="Hyperlink"/>
          </w:rPr>
          <w:t>2.2</w:t>
        </w:r>
        <w:r w:rsidR="00B553BC">
          <w:rPr>
            <w:rFonts w:asciiTheme="minorHAnsi" w:eastAsiaTheme="minorEastAsia" w:hAnsiTheme="minorHAnsi" w:cstheme="minorBidi"/>
            <w:color w:val="auto"/>
          </w:rPr>
          <w:tab/>
        </w:r>
        <w:r w:rsidR="00B553BC" w:rsidRPr="009B689F">
          <w:rPr>
            <w:rStyle w:val="Hyperlink"/>
          </w:rPr>
          <w:t>GDE values and ecosystem services</w:t>
        </w:r>
        <w:r w:rsidR="00B553BC">
          <w:rPr>
            <w:webHidden/>
          </w:rPr>
          <w:tab/>
        </w:r>
        <w:r w:rsidR="00B553BC">
          <w:rPr>
            <w:webHidden/>
          </w:rPr>
          <w:fldChar w:fldCharType="begin"/>
        </w:r>
        <w:r w:rsidR="00B553BC">
          <w:rPr>
            <w:webHidden/>
          </w:rPr>
          <w:instrText xml:space="preserve"> PAGEREF _Toc509996457 \h </w:instrText>
        </w:r>
        <w:r w:rsidR="00B553BC">
          <w:rPr>
            <w:webHidden/>
          </w:rPr>
        </w:r>
        <w:r w:rsidR="00B553BC">
          <w:rPr>
            <w:webHidden/>
          </w:rPr>
          <w:fldChar w:fldCharType="separate"/>
        </w:r>
        <w:r w:rsidR="00E96B43">
          <w:rPr>
            <w:webHidden/>
          </w:rPr>
          <w:t>12</w:t>
        </w:r>
        <w:r w:rsidR="00B553BC">
          <w:rPr>
            <w:webHidden/>
          </w:rPr>
          <w:fldChar w:fldCharType="end"/>
        </w:r>
      </w:hyperlink>
    </w:p>
    <w:p w14:paraId="31C8BACD" w14:textId="77777777" w:rsidR="00B553BC" w:rsidRDefault="00085933">
      <w:pPr>
        <w:pStyle w:val="TOC2"/>
        <w:rPr>
          <w:rFonts w:asciiTheme="minorHAnsi" w:eastAsiaTheme="minorEastAsia" w:hAnsiTheme="minorHAnsi" w:cstheme="minorBidi"/>
          <w:color w:val="auto"/>
        </w:rPr>
      </w:pPr>
      <w:hyperlink w:anchor="_Toc509996458" w:history="1">
        <w:r w:rsidR="00B553BC" w:rsidRPr="009B689F">
          <w:rPr>
            <w:rStyle w:val="Hyperlink"/>
          </w:rPr>
          <w:t>2.3</w:t>
        </w:r>
        <w:r w:rsidR="00B553BC">
          <w:rPr>
            <w:rFonts w:asciiTheme="minorHAnsi" w:eastAsiaTheme="minorEastAsia" w:hAnsiTheme="minorHAnsi" w:cstheme="minorBidi"/>
            <w:color w:val="auto"/>
          </w:rPr>
          <w:tab/>
        </w:r>
        <w:r w:rsidR="00B553BC" w:rsidRPr="009B689F">
          <w:rPr>
            <w:rStyle w:val="Hyperlink"/>
          </w:rPr>
          <w:t>Threats to GDEs from CSG and LCM activities</w:t>
        </w:r>
        <w:r w:rsidR="00B553BC">
          <w:rPr>
            <w:webHidden/>
          </w:rPr>
          <w:tab/>
        </w:r>
        <w:r w:rsidR="00B553BC">
          <w:rPr>
            <w:webHidden/>
          </w:rPr>
          <w:fldChar w:fldCharType="begin"/>
        </w:r>
        <w:r w:rsidR="00B553BC">
          <w:rPr>
            <w:webHidden/>
          </w:rPr>
          <w:instrText xml:space="preserve"> PAGEREF _Toc509996458 \h </w:instrText>
        </w:r>
        <w:r w:rsidR="00B553BC">
          <w:rPr>
            <w:webHidden/>
          </w:rPr>
        </w:r>
        <w:r w:rsidR="00B553BC">
          <w:rPr>
            <w:webHidden/>
          </w:rPr>
          <w:fldChar w:fldCharType="separate"/>
        </w:r>
        <w:r w:rsidR="00E96B43">
          <w:rPr>
            <w:webHidden/>
          </w:rPr>
          <w:t>14</w:t>
        </w:r>
        <w:r w:rsidR="00B553BC">
          <w:rPr>
            <w:webHidden/>
          </w:rPr>
          <w:fldChar w:fldCharType="end"/>
        </w:r>
      </w:hyperlink>
    </w:p>
    <w:p w14:paraId="31C8BACE" w14:textId="77777777" w:rsidR="00B553BC" w:rsidRDefault="00085933">
      <w:pPr>
        <w:pStyle w:val="TOC1"/>
        <w:rPr>
          <w:rFonts w:asciiTheme="minorHAnsi" w:eastAsiaTheme="minorEastAsia" w:hAnsiTheme="minorHAnsi" w:cstheme="minorBidi"/>
          <w:b w:val="0"/>
          <w:color w:val="auto"/>
        </w:rPr>
      </w:pPr>
      <w:hyperlink w:anchor="_Toc509996459" w:history="1">
        <w:r w:rsidR="00B553BC" w:rsidRPr="009B689F">
          <w:rPr>
            <w:rStyle w:val="Hyperlink"/>
          </w:rPr>
          <w:t>3</w:t>
        </w:r>
        <w:r w:rsidR="00B553BC">
          <w:rPr>
            <w:rFonts w:asciiTheme="minorHAnsi" w:eastAsiaTheme="minorEastAsia" w:hAnsiTheme="minorHAnsi" w:cstheme="minorBidi"/>
            <w:b w:val="0"/>
            <w:color w:val="auto"/>
          </w:rPr>
          <w:tab/>
        </w:r>
        <w:r w:rsidR="00B553BC" w:rsidRPr="009B689F">
          <w:rPr>
            <w:rStyle w:val="Hyperlink"/>
          </w:rPr>
          <w:t>Potential impacts of CSG and LCM development on GDEs</w:t>
        </w:r>
        <w:r w:rsidR="00B553BC">
          <w:rPr>
            <w:webHidden/>
          </w:rPr>
          <w:tab/>
        </w:r>
        <w:r w:rsidR="00B553BC">
          <w:rPr>
            <w:webHidden/>
          </w:rPr>
          <w:fldChar w:fldCharType="begin"/>
        </w:r>
        <w:r w:rsidR="00B553BC">
          <w:rPr>
            <w:webHidden/>
          </w:rPr>
          <w:instrText xml:space="preserve"> PAGEREF _Toc509996459 \h </w:instrText>
        </w:r>
        <w:r w:rsidR="00B553BC">
          <w:rPr>
            <w:webHidden/>
          </w:rPr>
        </w:r>
        <w:r w:rsidR="00B553BC">
          <w:rPr>
            <w:webHidden/>
          </w:rPr>
          <w:fldChar w:fldCharType="separate"/>
        </w:r>
        <w:r w:rsidR="00E96B43">
          <w:rPr>
            <w:webHidden/>
          </w:rPr>
          <w:t>15</w:t>
        </w:r>
        <w:r w:rsidR="00B553BC">
          <w:rPr>
            <w:webHidden/>
          </w:rPr>
          <w:fldChar w:fldCharType="end"/>
        </w:r>
      </w:hyperlink>
    </w:p>
    <w:p w14:paraId="31C8BACF" w14:textId="77777777" w:rsidR="00B553BC" w:rsidRDefault="00085933">
      <w:pPr>
        <w:pStyle w:val="TOC2"/>
        <w:rPr>
          <w:rFonts w:asciiTheme="minorHAnsi" w:eastAsiaTheme="minorEastAsia" w:hAnsiTheme="minorHAnsi" w:cstheme="minorBidi"/>
          <w:color w:val="auto"/>
        </w:rPr>
      </w:pPr>
      <w:hyperlink w:anchor="_Toc509996460" w:history="1">
        <w:r w:rsidR="00B553BC" w:rsidRPr="009B689F">
          <w:rPr>
            <w:rStyle w:val="Hyperlink"/>
          </w:rPr>
          <w:t>3.1</w:t>
        </w:r>
        <w:r w:rsidR="00B553BC">
          <w:rPr>
            <w:rFonts w:asciiTheme="minorHAnsi" w:eastAsiaTheme="minorEastAsia" w:hAnsiTheme="minorHAnsi" w:cstheme="minorBidi"/>
            <w:color w:val="auto"/>
          </w:rPr>
          <w:tab/>
        </w:r>
        <w:r w:rsidR="00B553BC" w:rsidRPr="009B689F">
          <w:rPr>
            <w:rStyle w:val="Hyperlink"/>
          </w:rPr>
          <w:t>Causal impact pathways</w:t>
        </w:r>
        <w:r w:rsidR="00B553BC">
          <w:rPr>
            <w:webHidden/>
          </w:rPr>
          <w:tab/>
        </w:r>
        <w:r w:rsidR="00B553BC">
          <w:rPr>
            <w:webHidden/>
          </w:rPr>
          <w:fldChar w:fldCharType="begin"/>
        </w:r>
        <w:r w:rsidR="00B553BC">
          <w:rPr>
            <w:webHidden/>
          </w:rPr>
          <w:instrText xml:space="preserve"> PAGEREF _Toc509996460 \h </w:instrText>
        </w:r>
        <w:r w:rsidR="00B553BC">
          <w:rPr>
            <w:webHidden/>
          </w:rPr>
        </w:r>
        <w:r w:rsidR="00B553BC">
          <w:rPr>
            <w:webHidden/>
          </w:rPr>
          <w:fldChar w:fldCharType="separate"/>
        </w:r>
        <w:r w:rsidR="00E96B43">
          <w:rPr>
            <w:webHidden/>
          </w:rPr>
          <w:t>15</w:t>
        </w:r>
        <w:r w:rsidR="00B553BC">
          <w:rPr>
            <w:webHidden/>
          </w:rPr>
          <w:fldChar w:fldCharType="end"/>
        </w:r>
      </w:hyperlink>
    </w:p>
    <w:p w14:paraId="31C8BAD0" w14:textId="77777777" w:rsidR="00B553BC" w:rsidRDefault="00085933">
      <w:pPr>
        <w:pStyle w:val="TOC3"/>
        <w:rPr>
          <w:rFonts w:asciiTheme="minorHAnsi" w:eastAsiaTheme="minorEastAsia" w:hAnsiTheme="minorHAnsi" w:cstheme="minorBidi"/>
          <w:noProof/>
          <w:color w:val="auto"/>
        </w:rPr>
      </w:pPr>
      <w:hyperlink w:anchor="_Toc509996461" w:history="1">
        <w:r w:rsidR="00B553BC" w:rsidRPr="009B689F">
          <w:rPr>
            <w:rStyle w:val="Hyperlink"/>
            <w:noProof/>
            <w14:scene3d>
              <w14:camera w14:prst="orthographicFront"/>
              <w14:lightRig w14:rig="threePt" w14:dir="t">
                <w14:rot w14:lat="0" w14:lon="0" w14:rev="0"/>
              </w14:lightRig>
            </w14:scene3d>
          </w:rPr>
          <w:t>3.1.1</w:t>
        </w:r>
        <w:r w:rsidR="00B553BC">
          <w:rPr>
            <w:rFonts w:asciiTheme="minorHAnsi" w:eastAsiaTheme="minorEastAsia" w:hAnsiTheme="minorHAnsi" w:cstheme="minorBidi"/>
            <w:noProof/>
            <w:color w:val="auto"/>
          </w:rPr>
          <w:tab/>
        </w:r>
        <w:r w:rsidR="00B553BC" w:rsidRPr="009B689F">
          <w:rPr>
            <w:rStyle w:val="Hyperlink"/>
            <w:noProof/>
          </w:rPr>
          <w:t>Interrupted connectivity</w:t>
        </w:r>
        <w:r w:rsidR="00B553BC">
          <w:rPr>
            <w:noProof/>
            <w:webHidden/>
          </w:rPr>
          <w:tab/>
        </w:r>
        <w:r w:rsidR="00B553BC">
          <w:rPr>
            <w:noProof/>
            <w:webHidden/>
          </w:rPr>
          <w:fldChar w:fldCharType="begin"/>
        </w:r>
        <w:r w:rsidR="00B553BC">
          <w:rPr>
            <w:noProof/>
            <w:webHidden/>
          </w:rPr>
          <w:instrText xml:space="preserve"> PAGEREF _Toc509996461 \h </w:instrText>
        </w:r>
        <w:r w:rsidR="00B553BC">
          <w:rPr>
            <w:noProof/>
            <w:webHidden/>
          </w:rPr>
        </w:r>
        <w:r w:rsidR="00B553BC">
          <w:rPr>
            <w:noProof/>
            <w:webHidden/>
          </w:rPr>
          <w:fldChar w:fldCharType="separate"/>
        </w:r>
        <w:r w:rsidR="00E96B43">
          <w:rPr>
            <w:noProof/>
            <w:webHidden/>
          </w:rPr>
          <w:t>17</w:t>
        </w:r>
        <w:r w:rsidR="00B553BC">
          <w:rPr>
            <w:noProof/>
            <w:webHidden/>
          </w:rPr>
          <w:fldChar w:fldCharType="end"/>
        </w:r>
      </w:hyperlink>
    </w:p>
    <w:p w14:paraId="31C8BAD1" w14:textId="77777777" w:rsidR="00B553BC" w:rsidRDefault="00085933">
      <w:pPr>
        <w:pStyle w:val="TOC3"/>
        <w:rPr>
          <w:rFonts w:asciiTheme="minorHAnsi" w:eastAsiaTheme="minorEastAsia" w:hAnsiTheme="minorHAnsi" w:cstheme="minorBidi"/>
          <w:noProof/>
          <w:color w:val="auto"/>
        </w:rPr>
      </w:pPr>
      <w:hyperlink w:anchor="_Toc509996462" w:history="1">
        <w:r w:rsidR="00B553BC" w:rsidRPr="009B689F">
          <w:rPr>
            <w:rStyle w:val="Hyperlink"/>
            <w:noProof/>
            <w14:scene3d>
              <w14:camera w14:prst="orthographicFront"/>
              <w14:lightRig w14:rig="threePt" w14:dir="t">
                <w14:rot w14:lat="0" w14:lon="0" w14:rev="0"/>
              </w14:lightRig>
            </w14:scene3d>
          </w:rPr>
          <w:t>3.1.2</w:t>
        </w:r>
        <w:r w:rsidR="00B553BC">
          <w:rPr>
            <w:rFonts w:asciiTheme="minorHAnsi" w:eastAsiaTheme="minorEastAsia" w:hAnsiTheme="minorHAnsi" w:cstheme="minorBidi"/>
            <w:noProof/>
            <w:color w:val="auto"/>
          </w:rPr>
          <w:tab/>
        </w:r>
        <w:r w:rsidR="00B553BC" w:rsidRPr="009B689F">
          <w:rPr>
            <w:rStyle w:val="Hyperlink"/>
            <w:rFonts w:eastAsia="Times New Roman"/>
            <w:noProof/>
          </w:rPr>
          <w:t>Reduced groundwater quality</w:t>
        </w:r>
        <w:r w:rsidR="00B553BC">
          <w:rPr>
            <w:noProof/>
            <w:webHidden/>
          </w:rPr>
          <w:tab/>
        </w:r>
        <w:r w:rsidR="00B553BC">
          <w:rPr>
            <w:noProof/>
            <w:webHidden/>
          </w:rPr>
          <w:fldChar w:fldCharType="begin"/>
        </w:r>
        <w:r w:rsidR="00B553BC">
          <w:rPr>
            <w:noProof/>
            <w:webHidden/>
          </w:rPr>
          <w:instrText xml:space="preserve"> PAGEREF _Toc509996462 \h </w:instrText>
        </w:r>
        <w:r w:rsidR="00B553BC">
          <w:rPr>
            <w:noProof/>
            <w:webHidden/>
          </w:rPr>
        </w:r>
        <w:r w:rsidR="00B553BC">
          <w:rPr>
            <w:noProof/>
            <w:webHidden/>
          </w:rPr>
          <w:fldChar w:fldCharType="separate"/>
        </w:r>
        <w:r w:rsidR="00E96B43">
          <w:rPr>
            <w:noProof/>
            <w:webHidden/>
          </w:rPr>
          <w:t>18</w:t>
        </w:r>
        <w:r w:rsidR="00B553BC">
          <w:rPr>
            <w:noProof/>
            <w:webHidden/>
          </w:rPr>
          <w:fldChar w:fldCharType="end"/>
        </w:r>
      </w:hyperlink>
    </w:p>
    <w:p w14:paraId="31C8BAD2" w14:textId="77777777" w:rsidR="00B553BC" w:rsidRDefault="00085933">
      <w:pPr>
        <w:pStyle w:val="TOC3"/>
        <w:rPr>
          <w:rFonts w:asciiTheme="minorHAnsi" w:eastAsiaTheme="minorEastAsia" w:hAnsiTheme="minorHAnsi" w:cstheme="minorBidi"/>
          <w:noProof/>
          <w:color w:val="auto"/>
        </w:rPr>
      </w:pPr>
      <w:hyperlink w:anchor="_Toc509996463" w:history="1">
        <w:r w:rsidR="00B553BC" w:rsidRPr="009B689F">
          <w:rPr>
            <w:rStyle w:val="Hyperlink"/>
            <w:noProof/>
            <w14:scene3d>
              <w14:camera w14:prst="orthographicFront"/>
              <w14:lightRig w14:rig="threePt" w14:dir="t">
                <w14:rot w14:lat="0" w14:lon="0" w14:rev="0"/>
              </w14:lightRig>
            </w14:scene3d>
          </w:rPr>
          <w:t>3.1.3</w:t>
        </w:r>
        <w:r w:rsidR="00B553BC">
          <w:rPr>
            <w:rFonts w:asciiTheme="minorHAnsi" w:eastAsiaTheme="minorEastAsia" w:hAnsiTheme="minorHAnsi" w:cstheme="minorBidi"/>
            <w:noProof/>
            <w:color w:val="auto"/>
          </w:rPr>
          <w:tab/>
        </w:r>
        <w:r w:rsidR="00B553BC" w:rsidRPr="009B689F">
          <w:rPr>
            <w:rStyle w:val="Hyperlink"/>
            <w:rFonts w:eastAsia="Times New Roman"/>
            <w:noProof/>
          </w:rPr>
          <w:t>Direct disturbance</w:t>
        </w:r>
        <w:r w:rsidR="00B553BC">
          <w:rPr>
            <w:noProof/>
            <w:webHidden/>
          </w:rPr>
          <w:tab/>
        </w:r>
        <w:r w:rsidR="00B553BC">
          <w:rPr>
            <w:noProof/>
            <w:webHidden/>
          </w:rPr>
          <w:fldChar w:fldCharType="begin"/>
        </w:r>
        <w:r w:rsidR="00B553BC">
          <w:rPr>
            <w:noProof/>
            <w:webHidden/>
          </w:rPr>
          <w:instrText xml:space="preserve"> PAGEREF _Toc509996463 \h </w:instrText>
        </w:r>
        <w:r w:rsidR="00B553BC">
          <w:rPr>
            <w:noProof/>
            <w:webHidden/>
          </w:rPr>
        </w:r>
        <w:r w:rsidR="00B553BC">
          <w:rPr>
            <w:noProof/>
            <w:webHidden/>
          </w:rPr>
          <w:fldChar w:fldCharType="separate"/>
        </w:r>
        <w:r w:rsidR="00E96B43">
          <w:rPr>
            <w:noProof/>
            <w:webHidden/>
          </w:rPr>
          <w:t>19</w:t>
        </w:r>
        <w:r w:rsidR="00B553BC">
          <w:rPr>
            <w:noProof/>
            <w:webHidden/>
          </w:rPr>
          <w:fldChar w:fldCharType="end"/>
        </w:r>
      </w:hyperlink>
    </w:p>
    <w:p w14:paraId="31C8BAD3" w14:textId="77777777" w:rsidR="00B553BC" w:rsidRDefault="00085933">
      <w:pPr>
        <w:pStyle w:val="TOC3"/>
        <w:rPr>
          <w:rFonts w:asciiTheme="minorHAnsi" w:eastAsiaTheme="minorEastAsia" w:hAnsiTheme="minorHAnsi" w:cstheme="minorBidi"/>
          <w:noProof/>
          <w:color w:val="auto"/>
        </w:rPr>
      </w:pPr>
      <w:hyperlink w:anchor="_Toc509996464" w:history="1">
        <w:r w:rsidR="00B553BC" w:rsidRPr="009B689F">
          <w:rPr>
            <w:rStyle w:val="Hyperlink"/>
            <w:noProof/>
            <w14:scene3d>
              <w14:camera w14:prst="orthographicFront"/>
              <w14:lightRig w14:rig="threePt" w14:dir="t">
                <w14:rot w14:lat="0" w14:lon="0" w14:rev="0"/>
              </w14:lightRig>
            </w14:scene3d>
          </w:rPr>
          <w:t>3.1.4</w:t>
        </w:r>
        <w:r w:rsidR="00B553BC">
          <w:rPr>
            <w:rFonts w:asciiTheme="minorHAnsi" w:eastAsiaTheme="minorEastAsia" w:hAnsiTheme="minorHAnsi" w:cstheme="minorBidi"/>
            <w:noProof/>
            <w:color w:val="auto"/>
          </w:rPr>
          <w:tab/>
        </w:r>
        <w:r w:rsidR="00B553BC" w:rsidRPr="009B689F">
          <w:rPr>
            <w:rStyle w:val="Hyperlink"/>
            <w:rFonts w:eastAsia="Times New Roman"/>
            <w:noProof/>
          </w:rPr>
          <w:t>Cumulative impacts</w:t>
        </w:r>
        <w:r w:rsidR="00B553BC">
          <w:rPr>
            <w:noProof/>
            <w:webHidden/>
          </w:rPr>
          <w:tab/>
        </w:r>
        <w:r w:rsidR="00B553BC">
          <w:rPr>
            <w:noProof/>
            <w:webHidden/>
          </w:rPr>
          <w:fldChar w:fldCharType="begin"/>
        </w:r>
        <w:r w:rsidR="00B553BC">
          <w:rPr>
            <w:noProof/>
            <w:webHidden/>
          </w:rPr>
          <w:instrText xml:space="preserve"> PAGEREF _Toc509996464 \h </w:instrText>
        </w:r>
        <w:r w:rsidR="00B553BC">
          <w:rPr>
            <w:noProof/>
            <w:webHidden/>
          </w:rPr>
        </w:r>
        <w:r w:rsidR="00B553BC">
          <w:rPr>
            <w:noProof/>
            <w:webHidden/>
          </w:rPr>
          <w:fldChar w:fldCharType="separate"/>
        </w:r>
        <w:r w:rsidR="00E96B43">
          <w:rPr>
            <w:noProof/>
            <w:webHidden/>
          </w:rPr>
          <w:t>19</w:t>
        </w:r>
        <w:r w:rsidR="00B553BC">
          <w:rPr>
            <w:noProof/>
            <w:webHidden/>
          </w:rPr>
          <w:fldChar w:fldCharType="end"/>
        </w:r>
      </w:hyperlink>
    </w:p>
    <w:p w14:paraId="31C8BAD4" w14:textId="77777777" w:rsidR="00B553BC" w:rsidRDefault="00085933">
      <w:pPr>
        <w:pStyle w:val="TOC1"/>
        <w:rPr>
          <w:rFonts w:asciiTheme="minorHAnsi" w:eastAsiaTheme="minorEastAsia" w:hAnsiTheme="minorHAnsi" w:cstheme="minorBidi"/>
          <w:b w:val="0"/>
          <w:color w:val="auto"/>
        </w:rPr>
      </w:pPr>
      <w:hyperlink w:anchor="_Toc509996465" w:history="1">
        <w:r w:rsidR="00B553BC" w:rsidRPr="009B689F">
          <w:rPr>
            <w:rStyle w:val="Hyperlink"/>
          </w:rPr>
          <w:t>4</w:t>
        </w:r>
        <w:r w:rsidR="00B553BC">
          <w:rPr>
            <w:rFonts w:asciiTheme="minorHAnsi" w:eastAsiaTheme="minorEastAsia" w:hAnsiTheme="minorHAnsi" w:cstheme="minorBidi"/>
            <w:b w:val="0"/>
            <w:color w:val="auto"/>
          </w:rPr>
          <w:tab/>
        </w:r>
        <w:r w:rsidR="00B553BC" w:rsidRPr="009B689F">
          <w:rPr>
            <w:rStyle w:val="Hyperlink"/>
          </w:rPr>
          <w:t>Framework for assessing GDEs in an environmental impact statement</w:t>
        </w:r>
        <w:r w:rsidR="00B553BC">
          <w:rPr>
            <w:webHidden/>
          </w:rPr>
          <w:tab/>
        </w:r>
        <w:r w:rsidR="00B553BC">
          <w:rPr>
            <w:webHidden/>
          </w:rPr>
          <w:fldChar w:fldCharType="begin"/>
        </w:r>
        <w:r w:rsidR="00B553BC">
          <w:rPr>
            <w:webHidden/>
          </w:rPr>
          <w:instrText xml:space="preserve"> PAGEREF _Toc509996465 \h </w:instrText>
        </w:r>
        <w:r w:rsidR="00B553BC">
          <w:rPr>
            <w:webHidden/>
          </w:rPr>
        </w:r>
        <w:r w:rsidR="00B553BC">
          <w:rPr>
            <w:webHidden/>
          </w:rPr>
          <w:fldChar w:fldCharType="separate"/>
        </w:r>
        <w:r w:rsidR="00E96B43">
          <w:rPr>
            <w:webHidden/>
          </w:rPr>
          <w:t>21</w:t>
        </w:r>
        <w:r w:rsidR="00B553BC">
          <w:rPr>
            <w:webHidden/>
          </w:rPr>
          <w:fldChar w:fldCharType="end"/>
        </w:r>
      </w:hyperlink>
    </w:p>
    <w:p w14:paraId="31C8BAD5" w14:textId="77777777" w:rsidR="00B553BC" w:rsidRDefault="00085933">
      <w:pPr>
        <w:pStyle w:val="TOC1"/>
        <w:rPr>
          <w:rFonts w:asciiTheme="minorHAnsi" w:eastAsiaTheme="minorEastAsia" w:hAnsiTheme="minorHAnsi" w:cstheme="minorBidi"/>
          <w:b w:val="0"/>
          <w:color w:val="auto"/>
        </w:rPr>
      </w:pPr>
      <w:hyperlink w:anchor="_Toc509996466" w:history="1">
        <w:r w:rsidR="00B553BC" w:rsidRPr="009B689F">
          <w:rPr>
            <w:rStyle w:val="Hyperlink"/>
          </w:rPr>
          <w:t>5</w:t>
        </w:r>
        <w:r w:rsidR="00B553BC">
          <w:rPr>
            <w:rFonts w:asciiTheme="minorHAnsi" w:eastAsiaTheme="minorEastAsia" w:hAnsiTheme="minorHAnsi" w:cstheme="minorBidi"/>
            <w:b w:val="0"/>
            <w:color w:val="auto"/>
          </w:rPr>
          <w:tab/>
        </w:r>
        <w:r w:rsidR="00B553BC" w:rsidRPr="009B689F">
          <w:rPr>
            <w:rStyle w:val="Hyperlink"/>
          </w:rPr>
          <w:t>Identifying GDEs potentially impacted by project activities</w:t>
        </w:r>
        <w:r w:rsidR="00B553BC">
          <w:rPr>
            <w:webHidden/>
          </w:rPr>
          <w:tab/>
        </w:r>
        <w:r w:rsidR="00B553BC">
          <w:rPr>
            <w:webHidden/>
          </w:rPr>
          <w:fldChar w:fldCharType="begin"/>
        </w:r>
        <w:r w:rsidR="00B553BC">
          <w:rPr>
            <w:webHidden/>
          </w:rPr>
          <w:instrText xml:space="preserve"> PAGEREF _Toc509996466 \h </w:instrText>
        </w:r>
        <w:r w:rsidR="00B553BC">
          <w:rPr>
            <w:webHidden/>
          </w:rPr>
        </w:r>
        <w:r w:rsidR="00B553BC">
          <w:rPr>
            <w:webHidden/>
          </w:rPr>
          <w:fldChar w:fldCharType="separate"/>
        </w:r>
        <w:r w:rsidR="00E96B43">
          <w:rPr>
            <w:webHidden/>
          </w:rPr>
          <w:t>23</w:t>
        </w:r>
        <w:r w:rsidR="00B553BC">
          <w:rPr>
            <w:webHidden/>
          </w:rPr>
          <w:fldChar w:fldCharType="end"/>
        </w:r>
      </w:hyperlink>
    </w:p>
    <w:p w14:paraId="31C8BAD6" w14:textId="77777777" w:rsidR="00B553BC" w:rsidRDefault="00085933">
      <w:pPr>
        <w:pStyle w:val="TOC2"/>
        <w:rPr>
          <w:rFonts w:asciiTheme="minorHAnsi" w:eastAsiaTheme="minorEastAsia" w:hAnsiTheme="minorHAnsi" w:cstheme="minorBidi"/>
          <w:color w:val="auto"/>
        </w:rPr>
      </w:pPr>
      <w:hyperlink w:anchor="_Toc509996467" w:history="1">
        <w:r w:rsidR="00B553BC" w:rsidRPr="009B689F">
          <w:rPr>
            <w:rStyle w:val="Hyperlink"/>
          </w:rPr>
          <w:t>5.1</w:t>
        </w:r>
        <w:r w:rsidR="00B553BC">
          <w:rPr>
            <w:rFonts w:asciiTheme="minorHAnsi" w:eastAsiaTheme="minorEastAsia" w:hAnsiTheme="minorHAnsi" w:cstheme="minorBidi"/>
            <w:color w:val="auto"/>
          </w:rPr>
          <w:tab/>
        </w:r>
        <w:r w:rsidR="00B553BC" w:rsidRPr="009B689F">
          <w:rPr>
            <w:rStyle w:val="Hyperlink"/>
          </w:rPr>
          <w:t>Identifying project area impact boundaries</w:t>
        </w:r>
        <w:r w:rsidR="00B553BC">
          <w:rPr>
            <w:webHidden/>
          </w:rPr>
          <w:tab/>
        </w:r>
        <w:r w:rsidR="00B553BC">
          <w:rPr>
            <w:webHidden/>
          </w:rPr>
          <w:fldChar w:fldCharType="begin"/>
        </w:r>
        <w:r w:rsidR="00B553BC">
          <w:rPr>
            <w:webHidden/>
          </w:rPr>
          <w:instrText xml:space="preserve"> PAGEREF _Toc509996467 \h </w:instrText>
        </w:r>
        <w:r w:rsidR="00B553BC">
          <w:rPr>
            <w:webHidden/>
          </w:rPr>
        </w:r>
        <w:r w:rsidR="00B553BC">
          <w:rPr>
            <w:webHidden/>
          </w:rPr>
          <w:fldChar w:fldCharType="separate"/>
        </w:r>
        <w:r w:rsidR="00E96B43">
          <w:rPr>
            <w:webHidden/>
          </w:rPr>
          <w:t>23</w:t>
        </w:r>
        <w:r w:rsidR="00B553BC">
          <w:rPr>
            <w:webHidden/>
          </w:rPr>
          <w:fldChar w:fldCharType="end"/>
        </w:r>
      </w:hyperlink>
    </w:p>
    <w:p w14:paraId="31C8BAD7" w14:textId="77777777" w:rsidR="00B553BC" w:rsidRDefault="00085933">
      <w:pPr>
        <w:pStyle w:val="TOC2"/>
        <w:rPr>
          <w:rFonts w:asciiTheme="minorHAnsi" w:eastAsiaTheme="minorEastAsia" w:hAnsiTheme="minorHAnsi" w:cstheme="minorBidi"/>
          <w:color w:val="auto"/>
        </w:rPr>
      </w:pPr>
      <w:hyperlink w:anchor="_Toc509996468" w:history="1">
        <w:r w:rsidR="00B553BC" w:rsidRPr="009B689F">
          <w:rPr>
            <w:rStyle w:val="Hyperlink"/>
          </w:rPr>
          <w:t>5.2</w:t>
        </w:r>
        <w:r w:rsidR="00B553BC">
          <w:rPr>
            <w:rFonts w:asciiTheme="minorHAnsi" w:eastAsiaTheme="minorEastAsia" w:hAnsiTheme="minorHAnsi" w:cstheme="minorBidi"/>
            <w:color w:val="auto"/>
          </w:rPr>
          <w:tab/>
        </w:r>
        <w:r w:rsidR="00B553BC" w:rsidRPr="009B689F">
          <w:rPr>
            <w:rStyle w:val="Hyperlink"/>
          </w:rPr>
          <w:t>Identifying GDEs in project impact area</w:t>
        </w:r>
        <w:r w:rsidR="00B553BC">
          <w:rPr>
            <w:webHidden/>
          </w:rPr>
          <w:tab/>
        </w:r>
        <w:r w:rsidR="00B553BC">
          <w:rPr>
            <w:webHidden/>
          </w:rPr>
          <w:fldChar w:fldCharType="begin"/>
        </w:r>
        <w:r w:rsidR="00B553BC">
          <w:rPr>
            <w:webHidden/>
          </w:rPr>
          <w:instrText xml:space="preserve"> PAGEREF _Toc509996468 \h </w:instrText>
        </w:r>
        <w:r w:rsidR="00B553BC">
          <w:rPr>
            <w:webHidden/>
          </w:rPr>
        </w:r>
        <w:r w:rsidR="00B553BC">
          <w:rPr>
            <w:webHidden/>
          </w:rPr>
          <w:fldChar w:fldCharType="separate"/>
        </w:r>
        <w:r w:rsidR="00E96B43">
          <w:rPr>
            <w:webHidden/>
          </w:rPr>
          <w:t>23</w:t>
        </w:r>
        <w:r w:rsidR="00B553BC">
          <w:rPr>
            <w:webHidden/>
          </w:rPr>
          <w:fldChar w:fldCharType="end"/>
        </w:r>
      </w:hyperlink>
    </w:p>
    <w:p w14:paraId="31C8BAD8" w14:textId="77777777" w:rsidR="00B553BC" w:rsidRDefault="00085933">
      <w:pPr>
        <w:pStyle w:val="TOC3"/>
        <w:rPr>
          <w:rFonts w:asciiTheme="minorHAnsi" w:eastAsiaTheme="minorEastAsia" w:hAnsiTheme="minorHAnsi" w:cstheme="minorBidi"/>
          <w:noProof/>
          <w:color w:val="auto"/>
        </w:rPr>
      </w:pPr>
      <w:hyperlink w:anchor="_Toc509996469" w:history="1">
        <w:r w:rsidR="00B553BC" w:rsidRPr="009B689F">
          <w:rPr>
            <w:rStyle w:val="Hyperlink"/>
            <w:noProof/>
            <w14:scene3d>
              <w14:camera w14:prst="orthographicFront"/>
              <w14:lightRig w14:rig="threePt" w14:dir="t">
                <w14:rot w14:lat="0" w14:lon="0" w14:rev="0"/>
              </w14:lightRig>
            </w14:scene3d>
          </w:rPr>
          <w:t>5.2.1</w:t>
        </w:r>
        <w:r w:rsidR="00B553BC">
          <w:rPr>
            <w:rFonts w:asciiTheme="minorHAnsi" w:eastAsiaTheme="minorEastAsia" w:hAnsiTheme="minorHAnsi" w:cstheme="minorBidi"/>
            <w:noProof/>
            <w:color w:val="auto"/>
          </w:rPr>
          <w:tab/>
        </w:r>
        <w:r w:rsidR="00B553BC" w:rsidRPr="009B689F">
          <w:rPr>
            <w:rStyle w:val="Hyperlink"/>
            <w:noProof/>
          </w:rPr>
          <w:t>Key indicators of groundwater dependence</w:t>
        </w:r>
        <w:r w:rsidR="00B553BC">
          <w:rPr>
            <w:noProof/>
            <w:webHidden/>
          </w:rPr>
          <w:tab/>
        </w:r>
        <w:r w:rsidR="00B553BC">
          <w:rPr>
            <w:noProof/>
            <w:webHidden/>
          </w:rPr>
          <w:fldChar w:fldCharType="begin"/>
        </w:r>
        <w:r w:rsidR="00B553BC">
          <w:rPr>
            <w:noProof/>
            <w:webHidden/>
          </w:rPr>
          <w:instrText xml:space="preserve"> PAGEREF _Toc509996469 \h </w:instrText>
        </w:r>
        <w:r w:rsidR="00B553BC">
          <w:rPr>
            <w:noProof/>
            <w:webHidden/>
          </w:rPr>
        </w:r>
        <w:r w:rsidR="00B553BC">
          <w:rPr>
            <w:noProof/>
            <w:webHidden/>
          </w:rPr>
          <w:fldChar w:fldCharType="separate"/>
        </w:r>
        <w:r w:rsidR="00E96B43">
          <w:rPr>
            <w:noProof/>
            <w:webHidden/>
          </w:rPr>
          <w:t>23</w:t>
        </w:r>
        <w:r w:rsidR="00B553BC">
          <w:rPr>
            <w:noProof/>
            <w:webHidden/>
          </w:rPr>
          <w:fldChar w:fldCharType="end"/>
        </w:r>
      </w:hyperlink>
    </w:p>
    <w:p w14:paraId="31C8BAD9" w14:textId="77777777" w:rsidR="00B553BC" w:rsidRDefault="00085933">
      <w:pPr>
        <w:pStyle w:val="TOC3"/>
        <w:rPr>
          <w:rFonts w:asciiTheme="minorHAnsi" w:eastAsiaTheme="minorEastAsia" w:hAnsiTheme="minorHAnsi" w:cstheme="minorBidi"/>
          <w:noProof/>
          <w:color w:val="auto"/>
        </w:rPr>
      </w:pPr>
      <w:hyperlink w:anchor="_Toc509996470" w:history="1">
        <w:r w:rsidR="00B553BC" w:rsidRPr="009B689F">
          <w:rPr>
            <w:rStyle w:val="Hyperlink"/>
            <w:noProof/>
            <w14:scene3d>
              <w14:camera w14:prst="orthographicFront"/>
              <w14:lightRig w14:rig="threePt" w14:dir="t">
                <w14:rot w14:lat="0" w14:lon="0" w14:rev="0"/>
              </w14:lightRig>
            </w14:scene3d>
          </w:rPr>
          <w:t>5.2.2</w:t>
        </w:r>
        <w:r w:rsidR="00B553BC">
          <w:rPr>
            <w:rFonts w:asciiTheme="minorHAnsi" w:eastAsiaTheme="minorEastAsia" w:hAnsiTheme="minorHAnsi" w:cstheme="minorBidi"/>
            <w:noProof/>
            <w:color w:val="auto"/>
          </w:rPr>
          <w:tab/>
        </w:r>
        <w:r w:rsidR="00B553BC" w:rsidRPr="009B689F">
          <w:rPr>
            <w:rStyle w:val="Hyperlink"/>
            <w:noProof/>
          </w:rPr>
          <w:t>Ancillary data sets and expert knowledge</w:t>
        </w:r>
        <w:r w:rsidR="00B553BC">
          <w:rPr>
            <w:noProof/>
            <w:webHidden/>
          </w:rPr>
          <w:tab/>
        </w:r>
        <w:r w:rsidR="00B553BC">
          <w:rPr>
            <w:noProof/>
            <w:webHidden/>
          </w:rPr>
          <w:fldChar w:fldCharType="begin"/>
        </w:r>
        <w:r w:rsidR="00B553BC">
          <w:rPr>
            <w:noProof/>
            <w:webHidden/>
          </w:rPr>
          <w:instrText xml:space="preserve"> PAGEREF _Toc509996470 \h </w:instrText>
        </w:r>
        <w:r w:rsidR="00B553BC">
          <w:rPr>
            <w:noProof/>
            <w:webHidden/>
          </w:rPr>
        </w:r>
        <w:r w:rsidR="00B553BC">
          <w:rPr>
            <w:noProof/>
            <w:webHidden/>
          </w:rPr>
          <w:fldChar w:fldCharType="separate"/>
        </w:r>
        <w:r w:rsidR="00E96B43">
          <w:rPr>
            <w:noProof/>
            <w:webHidden/>
          </w:rPr>
          <w:t>24</w:t>
        </w:r>
        <w:r w:rsidR="00B553BC">
          <w:rPr>
            <w:noProof/>
            <w:webHidden/>
          </w:rPr>
          <w:fldChar w:fldCharType="end"/>
        </w:r>
      </w:hyperlink>
    </w:p>
    <w:p w14:paraId="31C8BADA" w14:textId="77777777" w:rsidR="00B553BC" w:rsidRDefault="00085933">
      <w:pPr>
        <w:pStyle w:val="TOC3"/>
        <w:rPr>
          <w:rFonts w:asciiTheme="minorHAnsi" w:eastAsiaTheme="minorEastAsia" w:hAnsiTheme="minorHAnsi" w:cstheme="minorBidi"/>
          <w:noProof/>
          <w:color w:val="auto"/>
        </w:rPr>
      </w:pPr>
      <w:hyperlink w:anchor="_Toc509996471" w:history="1">
        <w:r w:rsidR="00B553BC" w:rsidRPr="009B689F">
          <w:rPr>
            <w:rStyle w:val="Hyperlink"/>
            <w:noProof/>
            <w14:scene3d>
              <w14:camera w14:prst="orthographicFront"/>
              <w14:lightRig w14:rig="threePt" w14:dir="t">
                <w14:rot w14:lat="0" w14:lon="0" w14:rev="0"/>
              </w14:lightRig>
            </w14:scene3d>
          </w:rPr>
          <w:t>5.2.3</w:t>
        </w:r>
        <w:r w:rsidR="00B553BC">
          <w:rPr>
            <w:rFonts w:asciiTheme="minorHAnsi" w:eastAsiaTheme="minorEastAsia" w:hAnsiTheme="minorHAnsi" w:cstheme="minorBidi"/>
            <w:noProof/>
            <w:color w:val="auto"/>
          </w:rPr>
          <w:tab/>
        </w:r>
        <w:r w:rsidR="00B553BC" w:rsidRPr="009B689F">
          <w:rPr>
            <w:rStyle w:val="Hyperlink"/>
            <w:noProof/>
          </w:rPr>
          <w:t>Remotely sensed data</w:t>
        </w:r>
        <w:r w:rsidR="00B553BC">
          <w:rPr>
            <w:noProof/>
            <w:webHidden/>
          </w:rPr>
          <w:tab/>
        </w:r>
        <w:r w:rsidR="00B553BC">
          <w:rPr>
            <w:noProof/>
            <w:webHidden/>
          </w:rPr>
          <w:fldChar w:fldCharType="begin"/>
        </w:r>
        <w:r w:rsidR="00B553BC">
          <w:rPr>
            <w:noProof/>
            <w:webHidden/>
          </w:rPr>
          <w:instrText xml:space="preserve"> PAGEREF _Toc509996471 \h </w:instrText>
        </w:r>
        <w:r w:rsidR="00B553BC">
          <w:rPr>
            <w:noProof/>
            <w:webHidden/>
          </w:rPr>
        </w:r>
        <w:r w:rsidR="00B553BC">
          <w:rPr>
            <w:noProof/>
            <w:webHidden/>
          </w:rPr>
          <w:fldChar w:fldCharType="separate"/>
        </w:r>
        <w:r w:rsidR="00E96B43">
          <w:rPr>
            <w:noProof/>
            <w:webHidden/>
          </w:rPr>
          <w:t>25</w:t>
        </w:r>
        <w:r w:rsidR="00B553BC">
          <w:rPr>
            <w:noProof/>
            <w:webHidden/>
          </w:rPr>
          <w:fldChar w:fldCharType="end"/>
        </w:r>
      </w:hyperlink>
    </w:p>
    <w:p w14:paraId="31C8BADB" w14:textId="77777777" w:rsidR="00B553BC" w:rsidRDefault="00085933">
      <w:pPr>
        <w:pStyle w:val="TOC2"/>
        <w:rPr>
          <w:rFonts w:asciiTheme="minorHAnsi" w:eastAsiaTheme="minorEastAsia" w:hAnsiTheme="minorHAnsi" w:cstheme="minorBidi"/>
          <w:color w:val="auto"/>
        </w:rPr>
      </w:pPr>
      <w:hyperlink w:anchor="_Toc509996472" w:history="1">
        <w:r w:rsidR="00B553BC" w:rsidRPr="009B689F">
          <w:rPr>
            <w:rStyle w:val="Hyperlink"/>
          </w:rPr>
          <w:t>5.3 Characterising the level of groundwater-dependence</w:t>
        </w:r>
        <w:r w:rsidR="00B553BC">
          <w:rPr>
            <w:webHidden/>
          </w:rPr>
          <w:tab/>
        </w:r>
        <w:r w:rsidR="00B553BC">
          <w:rPr>
            <w:webHidden/>
          </w:rPr>
          <w:fldChar w:fldCharType="begin"/>
        </w:r>
        <w:r w:rsidR="00B553BC">
          <w:rPr>
            <w:webHidden/>
          </w:rPr>
          <w:instrText xml:space="preserve"> PAGEREF _Toc509996472 \h </w:instrText>
        </w:r>
        <w:r w:rsidR="00B553BC">
          <w:rPr>
            <w:webHidden/>
          </w:rPr>
        </w:r>
        <w:r w:rsidR="00B553BC">
          <w:rPr>
            <w:webHidden/>
          </w:rPr>
          <w:fldChar w:fldCharType="separate"/>
        </w:r>
        <w:r w:rsidR="00E96B43">
          <w:rPr>
            <w:webHidden/>
          </w:rPr>
          <w:t>26</w:t>
        </w:r>
        <w:r w:rsidR="00B553BC">
          <w:rPr>
            <w:webHidden/>
          </w:rPr>
          <w:fldChar w:fldCharType="end"/>
        </w:r>
      </w:hyperlink>
    </w:p>
    <w:p w14:paraId="31C8BADC" w14:textId="77777777" w:rsidR="00B553BC" w:rsidRDefault="00085933">
      <w:pPr>
        <w:pStyle w:val="TOC3"/>
        <w:rPr>
          <w:rFonts w:asciiTheme="minorHAnsi" w:eastAsiaTheme="minorEastAsia" w:hAnsiTheme="minorHAnsi" w:cstheme="minorBidi"/>
          <w:noProof/>
          <w:color w:val="auto"/>
        </w:rPr>
      </w:pPr>
      <w:hyperlink w:anchor="_Toc509996473" w:history="1">
        <w:r w:rsidR="00B553BC" w:rsidRPr="009B689F">
          <w:rPr>
            <w:rStyle w:val="Hyperlink"/>
            <w:noProof/>
            <w14:scene3d>
              <w14:camera w14:prst="orthographicFront"/>
              <w14:lightRig w14:rig="threePt" w14:dir="t">
                <w14:rot w14:lat="0" w14:lon="0" w14:rev="0"/>
              </w14:lightRig>
            </w14:scene3d>
          </w:rPr>
          <w:t>5.3.1</w:t>
        </w:r>
        <w:r w:rsidR="00B553BC">
          <w:rPr>
            <w:rFonts w:asciiTheme="minorHAnsi" w:eastAsiaTheme="minorEastAsia" w:hAnsiTheme="minorHAnsi" w:cstheme="minorBidi"/>
            <w:noProof/>
            <w:color w:val="auto"/>
          </w:rPr>
          <w:tab/>
        </w:r>
        <w:r w:rsidR="00B553BC" w:rsidRPr="009B689F">
          <w:rPr>
            <w:rStyle w:val="Hyperlink"/>
            <w:noProof/>
          </w:rPr>
          <w:t>Conceptualisation</w:t>
        </w:r>
        <w:r w:rsidR="00B553BC">
          <w:rPr>
            <w:noProof/>
            <w:webHidden/>
          </w:rPr>
          <w:tab/>
        </w:r>
        <w:r w:rsidR="00B553BC">
          <w:rPr>
            <w:noProof/>
            <w:webHidden/>
          </w:rPr>
          <w:fldChar w:fldCharType="begin"/>
        </w:r>
        <w:r w:rsidR="00B553BC">
          <w:rPr>
            <w:noProof/>
            <w:webHidden/>
          </w:rPr>
          <w:instrText xml:space="preserve"> PAGEREF _Toc509996473 \h </w:instrText>
        </w:r>
        <w:r w:rsidR="00B553BC">
          <w:rPr>
            <w:noProof/>
            <w:webHidden/>
          </w:rPr>
        </w:r>
        <w:r w:rsidR="00B553BC">
          <w:rPr>
            <w:noProof/>
            <w:webHidden/>
          </w:rPr>
          <w:fldChar w:fldCharType="separate"/>
        </w:r>
        <w:r w:rsidR="00E96B43">
          <w:rPr>
            <w:noProof/>
            <w:webHidden/>
          </w:rPr>
          <w:t>26</w:t>
        </w:r>
        <w:r w:rsidR="00B553BC">
          <w:rPr>
            <w:noProof/>
            <w:webHidden/>
          </w:rPr>
          <w:fldChar w:fldCharType="end"/>
        </w:r>
      </w:hyperlink>
    </w:p>
    <w:p w14:paraId="31C8BADD" w14:textId="77777777" w:rsidR="00B553BC" w:rsidRDefault="00085933">
      <w:pPr>
        <w:pStyle w:val="TOC3"/>
        <w:rPr>
          <w:rFonts w:asciiTheme="minorHAnsi" w:eastAsiaTheme="minorEastAsia" w:hAnsiTheme="minorHAnsi" w:cstheme="minorBidi"/>
          <w:noProof/>
          <w:color w:val="auto"/>
        </w:rPr>
      </w:pPr>
      <w:hyperlink w:anchor="_Toc509996474" w:history="1">
        <w:r w:rsidR="00B553BC" w:rsidRPr="009B689F">
          <w:rPr>
            <w:rStyle w:val="Hyperlink"/>
            <w:noProof/>
            <w14:scene3d>
              <w14:camera w14:prst="orthographicFront"/>
              <w14:lightRig w14:rig="threePt" w14:dir="t">
                <w14:rot w14:lat="0" w14:lon="0" w14:rev="0"/>
              </w14:lightRig>
            </w14:scene3d>
          </w:rPr>
          <w:t>5.3.2</w:t>
        </w:r>
        <w:r w:rsidR="00B553BC">
          <w:rPr>
            <w:rFonts w:asciiTheme="minorHAnsi" w:eastAsiaTheme="minorEastAsia" w:hAnsiTheme="minorHAnsi" w:cstheme="minorBidi"/>
            <w:noProof/>
            <w:color w:val="auto"/>
          </w:rPr>
          <w:tab/>
        </w:r>
        <w:r w:rsidR="00B553BC" w:rsidRPr="009B689F">
          <w:rPr>
            <w:rStyle w:val="Hyperlink"/>
            <w:noProof/>
          </w:rPr>
          <w:t>Ecological water requirements of GDEs</w:t>
        </w:r>
        <w:r w:rsidR="00B553BC">
          <w:rPr>
            <w:noProof/>
            <w:webHidden/>
          </w:rPr>
          <w:tab/>
        </w:r>
        <w:r w:rsidR="00B553BC">
          <w:rPr>
            <w:noProof/>
            <w:webHidden/>
          </w:rPr>
          <w:fldChar w:fldCharType="begin"/>
        </w:r>
        <w:r w:rsidR="00B553BC">
          <w:rPr>
            <w:noProof/>
            <w:webHidden/>
          </w:rPr>
          <w:instrText xml:space="preserve"> PAGEREF _Toc509996474 \h </w:instrText>
        </w:r>
        <w:r w:rsidR="00B553BC">
          <w:rPr>
            <w:noProof/>
            <w:webHidden/>
          </w:rPr>
        </w:r>
        <w:r w:rsidR="00B553BC">
          <w:rPr>
            <w:noProof/>
            <w:webHidden/>
          </w:rPr>
          <w:fldChar w:fldCharType="separate"/>
        </w:r>
        <w:r w:rsidR="00E96B43">
          <w:rPr>
            <w:noProof/>
            <w:webHidden/>
          </w:rPr>
          <w:t>26</w:t>
        </w:r>
        <w:r w:rsidR="00B553BC">
          <w:rPr>
            <w:noProof/>
            <w:webHidden/>
          </w:rPr>
          <w:fldChar w:fldCharType="end"/>
        </w:r>
      </w:hyperlink>
    </w:p>
    <w:p w14:paraId="31C8BADE" w14:textId="77777777" w:rsidR="00B553BC" w:rsidRDefault="00085933">
      <w:pPr>
        <w:pStyle w:val="TOC3"/>
        <w:rPr>
          <w:rFonts w:asciiTheme="minorHAnsi" w:eastAsiaTheme="minorEastAsia" w:hAnsiTheme="minorHAnsi" w:cstheme="minorBidi"/>
          <w:noProof/>
          <w:color w:val="auto"/>
        </w:rPr>
      </w:pPr>
      <w:hyperlink w:anchor="_Toc509996475" w:history="1">
        <w:r w:rsidR="00B553BC" w:rsidRPr="009B689F">
          <w:rPr>
            <w:rStyle w:val="Hyperlink"/>
            <w:noProof/>
            <w14:scene3d>
              <w14:camera w14:prst="orthographicFront"/>
              <w14:lightRig w14:rig="threePt" w14:dir="t">
                <w14:rot w14:lat="0" w14:lon="0" w14:rev="0"/>
              </w14:lightRig>
            </w14:scene3d>
          </w:rPr>
          <w:t>5.3.3</w:t>
        </w:r>
        <w:r w:rsidR="00B553BC">
          <w:rPr>
            <w:rFonts w:asciiTheme="minorHAnsi" w:eastAsiaTheme="minorEastAsia" w:hAnsiTheme="minorHAnsi" w:cstheme="minorBidi"/>
            <w:noProof/>
            <w:color w:val="auto"/>
          </w:rPr>
          <w:tab/>
        </w:r>
        <w:r w:rsidR="00B553BC" w:rsidRPr="009B689F">
          <w:rPr>
            <w:rStyle w:val="Hyperlink"/>
            <w:noProof/>
          </w:rPr>
          <w:t>Confirming the likelihood of groundwater dependence</w:t>
        </w:r>
        <w:r w:rsidR="00B553BC">
          <w:rPr>
            <w:noProof/>
            <w:webHidden/>
          </w:rPr>
          <w:tab/>
        </w:r>
        <w:r w:rsidR="00B553BC">
          <w:rPr>
            <w:noProof/>
            <w:webHidden/>
          </w:rPr>
          <w:fldChar w:fldCharType="begin"/>
        </w:r>
        <w:r w:rsidR="00B553BC">
          <w:rPr>
            <w:noProof/>
            <w:webHidden/>
          </w:rPr>
          <w:instrText xml:space="preserve"> PAGEREF _Toc509996475 \h </w:instrText>
        </w:r>
        <w:r w:rsidR="00B553BC">
          <w:rPr>
            <w:noProof/>
            <w:webHidden/>
          </w:rPr>
        </w:r>
        <w:r w:rsidR="00B553BC">
          <w:rPr>
            <w:noProof/>
            <w:webHidden/>
          </w:rPr>
          <w:fldChar w:fldCharType="separate"/>
        </w:r>
        <w:r w:rsidR="00E96B43">
          <w:rPr>
            <w:noProof/>
            <w:webHidden/>
          </w:rPr>
          <w:t>29</w:t>
        </w:r>
        <w:r w:rsidR="00B553BC">
          <w:rPr>
            <w:noProof/>
            <w:webHidden/>
          </w:rPr>
          <w:fldChar w:fldCharType="end"/>
        </w:r>
      </w:hyperlink>
    </w:p>
    <w:p w14:paraId="31C8BADF" w14:textId="77777777" w:rsidR="00B553BC" w:rsidRDefault="00085933">
      <w:pPr>
        <w:pStyle w:val="TOC1"/>
        <w:rPr>
          <w:rFonts w:asciiTheme="minorHAnsi" w:eastAsiaTheme="minorEastAsia" w:hAnsiTheme="minorHAnsi" w:cstheme="minorBidi"/>
          <w:b w:val="0"/>
          <w:color w:val="auto"/>
        </w:rPr>
      </w:pPr>
      <w:hyperlink w:anchor="_Toc509996476" w:history="1">
        <w:r w:rsidR="00B553BC" w:rsidRPr="009B689F">
          <w:rPr>
            <w:rStyle w:val="Hyperlink"/>
          </w:rPr>
          <w:t>6</w:t>
        </w:r>
        <w:r w:rsidR="00B553BC">
          <w:rPr>
            <w:rFonts w:asciiTheme="minorHAnsi" w:eastAsiaTheme="minorEastAsia" w:hAnsiTheme="minorHAnsi" w:cstheme="minorBidi"/>
            <w:b w:val="0"/>
            <w:color w:val="auto"/>
          </w:rPr>
          <w:tab/>
        </w:r>
        <w:r w:rsidR="00B553BC" w:rsidRPr="009B689F">
          <w:rPr>
            <w:rStyle w:val="Hyperlink"/>
          </w:rPr>
          <w:t>Baseline ecological condition assessment and field survey requirements</w:t>
        </w:r>
        <w:r w:rsidR="00B553BC">
          <w:rPr>
            <w:webHidden/>
          </w:rPr>
          <w:tab/>
        </w:r>
        <w:r w:rsidR="00B553BC">
          <w:rPr>
            <w:webHidden/>
          </w:rPr>
          <w:fldChar w:fldCharType="begin"/>
        </w:r>
        <w:r w:rsidR="00B553BC">
          <w:rPr>
            <w:webHidden/>
          </w:rPr>
          <w:instrText xml:space="preserve"> PAGEREF _Toc509996476 \h </w:instrText>
        </w:r>
        <w:r w:rsidR="00B553BC">
          <w:rPr>
            <w:webHidden/>
          </w:rPr>
        </w:r>
        <w:r w:rsidR="00B553BC">
          <w:rPr>
            <w:webHidden/>
          </w:rPr>
          <w:fldChar w:fldCharType="separate"/>
        </w:r>
        <w:r w:rsidR="00E96B43">
          <w:rPr>
            <w:webHidden/>
          </w:rPr>
          <w:t>31</w:t>
        </w:r>
        <w:r w:rsidR="00B553BC">
          <w:rPr>
            <w:webHidden/>
          </w:rPr>
          <w:fldChar w:fldCharType="end"/>
        </w:r>
      </w:hyperlink>
    </w:p>
    <w:p w14:paraId="31C8BAE0" w14:textId="77777777" w:rsidR="00B553BC" w:rsidRDefault="00085933">
      <w:pPr>
        <w:pStyle w:val="TOC2"/>
        <w:rPr>
          <w:rFonts w:asciiTheme="minorHAnsi" w:eastAsiaTheme="minorEastAsia" w:hAnsiTheme="minorHAnsi" w:cstheme="minorBidi"/>
          <w:color w:val="auto"/>
        </w:rPr>
      </w:pPr>
      <w:hyperlink w:anchor="_Toc509996477" w:history="1">
        <w:r w:rsidR="00B553BC" w:rsidRPr="009B689F">
          <w:rPr>
            <w:rStyle w:val="Hyperlink"/>
          </w:rPr>
          <w:t>6.1</w:t>
        </w:r>
        <w:r w:rsidR="00B553BC">
          <w:rPr>
            <w:rFonts w:asciiTheme="minorHAnsi" w:eastAsiaTheme="minorEastAsia" w:hAnsiTheme="minorHAnsi" w:cstheme="minorBidi"/>
            <w:color w:val="auto"/>
          </w:rPr>
          <w:tab/>
        </w:r>
        <w:r w:rsidR="00B553BC" w:rsidRPr="009B689F">
          <w:rPr>
            <w:rStyle w:val="Hyperlink"/>
          </w:rPr>
          <w:t>Baseline conditions</w:t>
        </w:r>
        <w:r w:rsidR="00B553BC">
          <w:rPr>
            <w:webHidden/>
          </w:rPr>
          <w:tab/>
        </w:r>
        <w:r w:rsidR="00B553BC">
          <w:rPr>
            <w:webHidden/>
          </w:rPr>
          <w:fldChar w:fldCharType="begin"/>
        </w:r>
        <w:r w:rsidR="00B553BC">
          <w:rPr>
            <w:webHidden/>
          </w:rPr>
          <w:instrText xml:space="preserve"> PAGEREF _Toc509996477 \h </w:instrText>
        </w:r>
        <w:r w:rsidR="00B553BC">
          <w:rPr>
            <w:webHidden/>
          </w:rPr>
        </w:r>
        <w:r w:rsidR="00B553BC">
          <w:rPr>
            <w:webHidden/>
          </w:rPr>
          <w:fldChar w:fldCharType="separate"/>
        </w:r>
        <w:r w:rsidR="00E96B43">
          <w:rPr>
            <w:webHidden/>
          </w:rPr>
          <w:t>31</w:t>
        </w:r>
        <w:r w:rsidR="00B553BC">
          <w:rPr>
            <w:webHidden/>
          </w:rPr>
          <w:fldChar w:fldCharType="end"/>
        </w:r>
      </w:hyperlink>
    </w:p>
    <w:p w14:paraId="31C8BAE1" w14:textId="77777777" w:rsidR="00B553BC" w:rsidRDefault="00085933">
      <w:pPr>
        <w:pStyle w:val="TOC2"/>
        <w:rPr>
          <w:rFonts w:asciiTheme="minorHAnsi" w:eastAsiaTheme="minorEastAsia" w:hAnsiTheme="minorHAnsi" w:cstheme="minorBidi"/>
          <w:color w:val="auto"/>
        </w:rPr>
      </w:pPr>
      <w:hyperlink w:anchor="_Toc509996478" w:history="1">
        <w:r w:rsidR="00B553BC" w:rsidRPr="009B689F">
          <w:rPr>
            <w:rStyle w:val="Hyperlink"/>
          </w:rPr>
          <w:t>6.2</w:t>
        </w:r>
        <w:r w:rsidR="00B553BC">
          <w:rPr>
            <w:rFonts w:asciiTheme="minorHAnsi" w:eastAsiaTheme="minorEastAsia" w:hAnsiTheme="minorHAnsi" w:cstheme="minorBidi"/>
            <w:color w:val="auto"/>
          </w:rPr>
          <w:tab/>
        </w:r>
        <w:r w:rsidR="00B553BC" w:rsidRPr="009B689F">
          <w:rPr>
            <w:rStyle w:val="Hyperlink"/>
          </w:rPr>
          <w:t>Requirements for GDE field surveys</w:t>
        </w:r>
        <w:r w:rsidR="00B553BC">
          <w:rPr>
            <w:webHidden/>
          </w:rPr>
          <w:tab/>
        </w:r>
        <w:r w:rsidR="00B553BC">
          <w:rPr>
            <w:webHidden/>
          </w:rPr>
          <w:fldChar w:fldCharType="begin"/>
        </w:r>
        <w:r w:rsidR="00B553BC">
          <w:rPr>
            <w:webHidden/>
          </w:rPr>
          <w:instrText xml:space="preserve"> PAGEREF _Toc509996478 \h </w:instrText>
        </w:r>
        <w:r w:rsidR="00B553BC">
          <w:rPr>
            <w:webHidden/>
          </w:rPr>
        </w:r>
        <w:r w:rsidR="00B553BC">
          <w:rPr>
            <w:webHidden/>
          </w:rPr>
          <w:fldChar w:fldCharType="separate"/>
        </w:r>
        <w:r w:rsidR="00E96B43">
          <w:rPr>
            <w:webHidden/>
          </w:rPr>
          <w:t>31</w:t>
        </w:r>
        <w:r w:rsidR="00B553BC">
          <w:rPr>
            <w:webHidden/>
          </w:rPr>
          <w:fldChar w:fldCharType="end"/>
        </w:r>
      </w:hyperlink>
    </w:p>
    <w:p w14:paraId="31C8BAE2" w14:textId="77777777" w:rsidR="00B553BC" w:rsidRDefault="00085933">
      <w:pPr>
        <w:pStyle w:val="TOC2"/>
        <w:rPr>
          <w:rFonts w:asciiTheme="minorHAnsi" w:eastAsiaTheme="minorEastAsia" w:hAnsiTheme="minorHAnsi" w:cstheme="minorBidi"/>
          <w:color w:val="auto"/>
        </w:rPr>
      </w:pPr>
      <w:hyperlink w:anchor="_Toc509996479" w:history="1">
        <w:r w:rsidR="00B553BC" w:rsidRPr="009B689F">
          <w:rPr>
            <w:rStyle w:val="Hyperlink"/>
          </w:rPr>
          <w:t>6.3</w:t>
        </w:r>
        <w:r w:rsidR="00B553BC">
          <w:rPr>
            <w:rFonts w:asciiTheme="minorHAnsi" w:eastAsiaTheme="minorEastAsia" w:hAnsiTheme="minorHAnsi" w:cstheme="minorBidi"/>
            <w:color w:val="auto"/>
          </w:rPr>
          <w:tab/>
        </w:r>
        <w:r w:rsidR="00B553BC" w:rsidRPr="009B689F">
          <w:rPr>
            <w:rStyle w:val="Hyperlink"/>
          </w:rPr>
          <w:t>Field surveys and monitoring</w:t>
        </w:r>
        <w:r w:rsidR="00B553BC">
          <w:rPr>
            <w:webHidden/>
          </w:rPr>
          <w:tab/>
        </w:r>
        <w:r w:rsidR="00B553BC">
          <w:rPr>
            <w:webHidden/>
          </w:rPr>
          <w:fldChar w:fldCharType="begin"/>
        </w:r>
        <w:r w:rsidR="00B553BC">
          <w:rPr>
            <w:webHidden/>
          </w:rPr>
          <w:instrText xml:space="preserve"> PAGEREF _Toc509996479 \h </w:instrText>
        </w:r>
        <w:r w:rsidR="00B553BC">
          <w:rPr>
            <w:webHidden/>
          </w:rPr>
        </w:r>
        <w:r w:rsidR="00B553BC">
          <w:rPr>
            <w:webHidden/>
          </w:rPr>
          <w:fldChar w:fldCharType="separate"/>
        </w:r>
        <w:r w:rsidR="00E96B43">
          <w:rPr>
            <w:webHidden/>
          </w:rPr>
          <w:t>32</w:t>
        </w:r>
        <w:r w:rsidR="00B553BC">
          <w:rPr>
            <w:webHidden/>
          </w:rPr>
          <w:fldChar w:fldCharType="end"/>
        </w:r>
      </w:hyperlink>
    </w:p>
    <w:p w14:paraId="31C8BAE3" w14:textId="77777777" w:rsidR="00B553BC" w:rsidRDefault="00085933">
      <w:pPr>
        <w:pStyle w:val="TOC2"/>
        <w:rPr>
          <w:rFonts w:asciiTheme="minorHAnsi" w:eastAsiaTheme="minorEastAsia" w:hAnsiTheme="minorHAnsi" w:cstheme="minorBidi"/>
          <w:color w:val="auto"/>
        </w:rPr>
      </w:pPr>
      <w:hyperlink w:anchor="_Toc509996480" w:history="1">
        <w:r w:rsidR="00B553BC" w:rsidRPr="009B689F">
          <w:rPr>
            <w:rStyle w:val="Hyperlink"/>
          </w:rPr>
          <w:t>6.4</w:t>
        </w:r>
        <w:r w:rsidR="00B553BC">
          <w:rPr>
            <w:rFonts w:asciiTheme="minorHAnsi" w:eastAsiaTheme="minorEastAsia" w:hAnsiTheme="minorHAnsi" w:cstheme="minorBidi"/>
            <w:color w:val="auto"/>
          </w:rPr>
          <w:tab/>
        </w:r>
        <w:r w:rsidR="00B553BC" w:rsidRPr="009B689F">
          <w:rPr>
            <w:rStyle w:val="Hyperlink"/>
          </w:rPr>
          <w:t>Site selection</w:t>
        </w:r>
        <w:r w:rsidR="00B553BC">
          <w:rPr>
            <w:webHidden/>
          </w:rPr>
          <w:tab/>
        </w:r>
        <w:r w:rsidR="00B553BC">
          <w:rPr>
            <w:webHidden/>
          </w:rPr>
          <w:fldChar w:fldCharType="begin"/>
        </w:r>
        <w:r w:rsidR="00B553BC">
          <w:rPr>
            <w:webHidden/>
          </w:rPr>
          <w:instrText xml:space="preserve"> PAGEREF _Toc509996480 \h </w:instrText>
        </w:r>
        <w:r w:rsidR="00B553BC">
          <w:rPr>
            <w:webHidden/>
          </w:rPr>
        </w:r>
        <w:r w:rsidR="00B553BC">
          <w:rPr>
            <w:webHidden/>
          </w:rPr>
          <w:fldChar w:fldCharType="separate"/>
        </w:r>
        <w:r w:rsidR="00E96B43">
          <w:rPr>
            <w:webHidden/>
          </w:rPr>
          <w:t>32</w:t>
        </w:r>
        <w:r w:rsidR="00B553BC">
          <w:rPr>
            <w:webHidden/>
          </w:rPr>
          <w:fldChar w:fldCharType="end"/>
        </w:r>
      </w:hyperlink>
    </w:p>
    <w:p w14:paraId="31C8BAE4" w14:textId="77777777" w:rsidR="00B553BC" w:rsidRDefault="00085933">
      <w:pPr>
        <w:pStyle w:val="TOC2"/>
        <w:rPr>
          <w:rFonts w:asciiTheme="minorHAnsi" w:eastAsiaTheme="minorEastAsia" w:hAnsiTheme="minorHAnsi" w:cstheme="minorBidi"/>
          <w:color w:val="auto"/>
        </w:rPr>
      </w:pPr>
      <w:hyperlink w:anchor="_Toc509996481" w:history="1">
        <w:r w:rsidR="00B553BC" w:rsidRPr="009B689F">
          <w:rPr>
            <w:rStyle w:val="Hyperlink"/>
          </w:rPr>
          <w:t>6.5</w:t>
        </w:r>
        <w:r w:rsidR="00B553BC">
          <w:rPr>
            <w:rFonts w:asciiTheme="minorHAnsi" w:eastAsiaTheme="minorEastAsia" w:hAnsiTheme="minorHAnsi" w:cstheme="minorBidi"/>
            <w:color w:val="auto"/>
          </w:rPr>
          <w:tab/>
        </w:r>
        <w:r w:rsidR="00B553BC" w:rsidRPr="009B689F">
          <w:rPr>
            <w:rStyle w:val="Hyperlink"/>
          </w:rPr>
          <w:t>Assessing ecosystem value</w:t>
        </w:r>
        <w:r w:rsidR="00B553BC">
          <w:rPr>
            <w:webHidden/>
          </w:rPr>
          <w:tab/>
        </w:r>
        <w:r w:rsidR="00B553BC">
          <w:rPr>
            <w:webHidden/>
          </w:rPr>
          <w:fldChar w:fldCharType="begin"/>
        </w:r>
        <w:r w:rsidR="00B553BC">
          <w:rPr>
            <w:webHidden/>
          </w:rPr>
          <w:instrText xml:space="preserve"> PAGEREF _Toc509996481 \h </w:instrText>
        </w:r>
        <w:r w:rsidR="00B553BC">
          <w:rPr>
            <w:webHidden/>
          </w:rPr>
        </w:r>
        <w:r w:rsidR="00B553BC">
          <w:rPr>
            <w:webHidden/>
          </w:rPr>
          <w:fldChar w:fldCharType="separate"/>
        </w:r>
        <w:r w:rsidR="00E96B43">
          <w:rPr>
            <w:webHidden/>
          </w:rPr>
          <w:t>34</w:t>
        </w:r>
        <w:r w:rsidR="00B553BC">
          <w:rPr>
            <w:webHidden/>
          </w:rPr>
          <w:fldChar w:fldCharType="end"/>
        </w:r>
      </w:hyperlink>
    </w:p>
    <w:p w14:paraId="31C8BAE5" w14:textId="77777777" w:rsidR="00B553BC" w:rsidRDefault="00085933">
      <w:pPr>
        <w:pStyle w:val="TOC2"/>
        <w:rPr>
          <w:rFonts w:asciiTheme="minorHAnsi" w:eastAsiaTheme="minorEastAsia" w:hAnsiTheme="minorHAnsi" w:cstheme="minorBidi"/>
          <w:color w:val="auto"/>
        </w:rPr>
      </w:pPr>
      <w:hyperlink w:anchor="_Toc509996482" w:history="1">
        <w:r w:rsidR="00B553BC" w:rsidRPr="009B689F">
          <w:rPr>
            <w:rStyle w:val="Hyperlink"/>
          </w:rPr>
          <w:t>6.6</w:t>
        </w:r>
        <w:r w:rsidR="00B553BC">
          <w:rPr>
            <w:rFonts w:asciiTheme="minorHAnsi" w:eastAsiaTheme="minorEastAsia" w:hAnsiTheme="minorHAnsi" w:cstheme="minorBidi"/>
            <w:color w:val="auto"/>
          </w:rPr>
          <w:tab/>
        </w:r>
        <w:r w:rsidR="00B553BC" w:rsidRPr="009B689F">
          <w:rPr>
            <w:rStyle w:val="Hyperlink"/>
          </w:rPr>
          <w:t>Data requirements</w:t>
        </w:r>
        <w:r w:rsidR="00B553BC">
          <w:rPr>
            <w:webHidden/>
          </w:rPr>
          <w:tab/>
        </w:r>
        <w:r w:rsidR="00B553BC">
          <w:rPr>
            <w:webHidden/>
          </w:rPr>
          <w:fldChar w:fldCharType="begin"/>
        </w:r>
        <w:r w:rsidR="00B553BC">
          <w:rPr>
            <w:webHidden/>
          </w:rPr>
          <w:instrText xml:space="preserve"> PAGEREF _Toc509996482 \h </w:instrText>
        </w:r>
        <w:r w:rsidR="00B553BC">
          <w:rPr>
            <w:webHidden/>
          </w:rPr>
        </w:r>
        <w:r w:rsidR="00B553BC">
          <w:rPr>
            <w:webHidden/>
          </w:rPr>
          <w:fldChar w:fldCharType="separate"/>
        </w:r>
        <w:r w:rsidR="00E96B43">
          <w:rPr>
            <w:webHidden/>
          </w:rPr>
          <w:t>35</w:t>
        </w:r>
        <w:r w:rsidR="00B553BC">
          <w:rPr>
            <w:webHidden/>
          </w:rPr>
          <w:fldChar w:fldCharType="end"/>
        </w:r>
      </w:hyperlink>
    </w:p>
    <w:p w14:paraId="31C8BAE6" w14:textId="77777777" w:rsidR="00B553BC" w:rsidRDefault="00085933">
      <w:pPr>
        <w:pStyle w:val="TOC2"/>
        <w:rPr>
          <w:rFonts w:asciiTheme="minorHAnsi" w:eastAsiaTheme="minorEastAsia" w:hAnsiTheme="minorHAnsi" w:cstheme="minorBidi"/>
          <w:color w:val="auto"/>
        </w:rPr>
      </w:pPr>
      <w:hyperlink w:anchor="_Toc509996483" w:history="1">
        <w:r w:rsidR="00B553BC" w:rsidRPr="009B689F">
          <w:rPr>
            <w:rStyle w:val="Hyperlink"/>
          </w:rPr>
          <w:t>6.7</w:t>
        </w:r>
        <w:r w:rsidR="00B553BC">
          <w:rPr>
            <w:rFonts w:asciiTheme="minorHAnsi" w:eastAsiaTheme="minorEastAsia" w:hAnsiTheme="minorHAnsi" w:cstheme="minorBidi"/>
            <w:color w:val="auto"/>
          </w:rPr>
          <w:tab/>
        </w:r>
        <w:r w:rsidR="00B553BC" w:rsidRPr="009B689F">
          <w:rPr>
            <w:rStyle w:val="Hyperlink"/>
          </w:rPr>
          <w:t>Survey level of detail</w:t>
        </w:r>
        <w:r w:rsidR="00B553BC">
          <w:rPr>
            <w:webHidden/>
          </w:rPr>
          <w:tab/>
        </w:r>
        <w:r w:rsidR="00B553BC">
          <w:rPr>
            <w:webHidden/>
          </w:rPr>
          <w:fldChar w:fldCharType="begin"/>
        </w:r>
        <w:r w:rsidR="00B553BC">
          <w:rPr>
            <w:webHidden/>
          </w:rPr>
          <w:instrText xml:space="preserve"> PAGEREF _Toc509996483 \h </w:instrText>
        </w:r>
        <w:r w:rsidR="00B553BC">
          <w:rPr>
            <w:webHidden/>
          </w:rPr>
        </w:r>
        <w:r w:rsidR="00B553BC">
          <w:rPr>
            <w:webHidden/>
          </w:rPr>
          <w:fldChar w:fldCharType="separate"/>
        </w:r>
        <w:r w:rsidR="00E96B43">
          <w:rPr>
            <w:webHidden/>
          </w:rPr>
          <w:t>36</w:t>
        </w:r>
        <w:r w:rsidR="00B553BC">
          <w:rPr>
            <w:webHidden/>
          </w:rPr>
          <w:fldChar w:fldCharType="end"/>
        </w:r>
      </w:hyperlink>
    </w:p>
    <w:p w14:paraId="31C8BAE7" w14:textId="77777777" w:rsidR="00B553BC" w:rsidRDefault="00085933">
      <w:pPr>
        <w:pStyle w:val="TOC2"/>
        <w:rPr>
          <w:rFonts w:asciiTheme="minorHAnsi" w:eastAsiaTheme="minorEastAsia" w:hAnsiTheme="minorHAnsi" w:cstheme="minorBidi"/>
          <w:color w:val="auto"/>
        </w:rPr>
      </w:pPr>
      <w:hyperlink w:anchor="_Toc509996484" w:history="1">
        <w:r w:rsidR="00B553BC" w:rsidRPr="009B689F">
          <w:rPr>
            <w:rStyle w:val="Hyperlink"/>
          </w:rPr>
          <w:t>6.8</w:t>
        </w:r>
        <w:r w:rsidR="00B553BC">
          <w:rPr>
            <w:rFonts w:asciiTheme="minorHAnsi" w:eastAsiaTheme="minorEastAsia" w:hAnsiTheme="minorHAnsi" w:cstheme="minorBidi"/>
            <w:color w:val="auto"/>
          </w:rPr>
          <w:tab/>
        </w:r>
        <w:r w:rsidR="00B553BC" w:rsidRPr="009B689F">
          <w:rPr>
            <w:rStyle w:val="Hyperlink"/>
          </w:rPr>
          <w:t>Data analysis and management</w:t>
        </w:r>
        <w:r w:rsidR="00B553BC">
          <w:rPr>
            <w:webHidden/>
          </w:rPr>
          <w:tab/>
        </w:r>
        <w:r w:rsidR="00B553BC">
          <w:rPr>
            <w:webHidden/>
          </w:rPr>
          <w:fldChar w:fldCharType="begin"/>
        </w:r>
        <w:r w:rsidR="00B553BC">
          <w:rPr>
            <w:webHidden/>
          </w:rPr>
          <w:instrText xml:space="preserve"> PAGEREF _Toc509996484 \h </w:instrText>
        </w:r>
        <w:r w:rsidR="00B553BC">
          <w:rPr>
            <w:webHidden/>
          </w:rPr>
        </w:r>
        <w:r w:rsidR="00B553BC">
          <w:rPr>
            <w:webHidden/>
          </w:rPr>
          <w:fldChar w:fldCharType="separate"/>
        </w:r>
        <w:r w:rsidR="00E96B43">
          <w:rPr>
            <w:webHidden/>
          </w:rPr>
          <w:t>37</w:t>
        </w:r>
        <w:r w:rsidR="00B553BC">
          <w:rPr>
            <w:webHidden/>
          </w:rPr>
          <w:fldChar w:fldCharType="end"/>
        </w:r>
      </w:hyperlink>
    </w:p>
    <w:p w14:paraId="31C8BAE8" w14:textId="77777777" w:rsidR="00B553BC" w:rsidRDefault="00085933">
      <w:pPr>
        <w:pStyle w:val="TOC1"/>
        <w:rPr>
          <w:rFonts w:asciiTheme="minorHAnsi" w:eastAsiaTheme="minorEastAsia" w:hAnsiTheme="minorHAnsi" w:cstheme="minorBidi"/>
          <w:b w:val="0"/>
          <w:color w:val="auto"/>
        </w:rPr>
      </w:pPr>
      <w:hyperlink w:anchor="_Toc509996485" w:history="1">
        <w:r w:rsidR="00B553BC" w:rsidRPr="009B689F">
          <w:rPr>
            <w:rStyle w:val="Hyperlink"/>
          </w:rPr>
          <w:t>7</w:t>
        </w:r>
        <w:r w:rsidR="00B553BC">
          <w:rPr>
            <w:rFonts w:asciiTheme="minorHAnsi" w:eastAsiaTheme="minorEastAsia" w:hAnsiTheme="minorHAnsi" w:cstheme="minorBidi"/>
            <w:b w:val="0"/>
            <w:color w:val="auto"/>
          </w:rPr>
          <w:tab/>
        </w:r>
        <w:r w:rsidR="00B553BC" w:rsidRPr="009B689F">
          <w:rPr>
            <w:rStyle w:val="Hyperlink"/>
          </w:rPr>
          <w:t>Assessing risks of project-specific impacts to GDEs</w:t>
        </w:r>
        <w:r w:rsidR="00B553BC">
          <w:rPr>
            <w:webHidden/>
          </w:rPr>
          <w:tab/>
        </w:r>
        <w:r w:rsidR="00B553BC">
          <w:rPr>
            <w:webHidden/>
          </w:rPr>
          <w:fldChar w:fldCharType="begin"/>
        </w:r>
        <w:r w:rsidR="00B553BC">
          <w:rPr>
            <w:webHidden/>
          </w:rPr>
          <w:instrText xml:space="preserve"> PAGEREF _Toc509996485 \h </w:instrText>
        </w:r>
        <w:r w:rsidR="00B553BC">
          <w:rPr>
            <w:webHidden/>
          </w:rPr>
        </w:r>
        <w:r w:rsidR="00B553BC">
          <w:rPr>
            <w:webHidden/>
          </w:rPr>
          <w:fldChar w:fldCharType="separate"/>
        </w:r>
        <w:r w:rsidR="00E96B43">
          <w:rPr>
            <w:webHidden/>
          </w:rPr>
          <w:t>38</w:t>
        </w:r>
        <w:r w:rsidR="00B553BC">
          <w:rPr>
            <w:webHidden/>
          </w:rPr>
          <w:fldChar w:fldCharType="end"/>
        </w:r>
      </w:hyperlink>
    </w:p>
    <w:p w14:paraId="31C8BAE9" w14:textId="77777777" w:rsidR="00B553BC" w:rsidRDefault="00085933">
      <w:pPr>
        <w:pStyle w:val="TOC2"/>
        <w:rPr>
          <w:rFonts w:asciiTheme="minorHAnsi" w:eastAsiaTheme="minorEastAsia" w:hAnsiTheme="minorHAnsi" w:cstheme="minorBidi"/>
          <w:color w:val="auto"/>
        </w:rPr>
      </w:pPr>
      <w:hyperlink w:anchor="_Toc509996486" w:history="1">
        <w:r w:rsidR="00B553BC" w:rsidRPr="009B689F">
          <w:rPr>
            <w:rStyle w:val="Hyperlink"/>
          </w:rPr>
          <w:t>7.1</w:t>
        </w:r>
        <w:r w:rsidR="00B553BC">
          <w:rPr>
            <w:rFonts w:asciiTheme="minorHAnsi" w:eastAsiaTheme="minorEastAsia" w:hAnsiTheme="minorHAnsi" w:cstheme="minorBidi"/>
            <w:color w:val="auto"/>
          </w:rPr>
          <w:tab/>
        </w:r>
        <w:r w:rsidR="00B553BC" w:rsidRPr="009B689F">
          <w:rPr>
            <w:rStyle w:val="Hyperlink"/>
          </w:rPr>
          <w:t>Assessment of impacts</w:t>
        </w:r>
        <w:r w:rsidR="00B553BC">
          <w:rPr>
            <w:webHidden/>
          </w:rPr>
          <w:tab/>
        </w:r>
        <w:r w:rsidR="00B553BC">
          <w:rPr>
            <w:webHidden/>
          </w:rPr>
          <w:fldChar w:fldCharType="begin"/>
        </w:r>
        <w:r w:rsidR="00B553BC">
          <w:rPr>
            <w:webHidden/>
          </w:rPr>
          <w:instrText xml:space="preserve"> PAGEREF _Toc509996486 \h </w:instrText>
        </w:r>
        <w:r w:rsidR="00B553BC">
          <w:rPr>
            <w:webHidden/>
          </w:rPr>
        </w:r>
        <w:r w:rsidR="00B553BC">
          <w:rPr>
            <w:webHidden/>
          </w:rPr>
          <w:fldChar w:fldCharType="separate"/>
        </w:r>
        <w:r w:rsidR="00E96B43">
          <w:rPr>
            <w:webHidden/>
          </w:rPr>
          <w:t>38</w:t>
        </w:r>
        <w:r w:rsidR="00B553BC">
          <w:rPr>
            <w:webHidden/>
          </w:rPr>
          <w:fldChar w:fldCharType="end"/>
        </w:r>
      </w:hyperlink>
    </w:p>
    <w:p w14:paraId="31C8BAEA" w14:textId="77777777" w:rsidR="00B553BC" w:rsidRDefault="00085933">
      <w:pPr>
        <w:pStyle w:val="TOC3"/>
        <w:rPr>
          <w:rFonts w:asciiTheme="minorHAnsi" w:eastAsiaTheme="minorEastAsia" w:hAnsiTheme="minorHAnsi" w:cstheme="minorBidi"/>
          <w:noProof/>
          <w:color w:val="auto"/>
        </w:rPr>
      </w:pPr>
      <w:hyperlink w:anchor="_Toc509996487" w:history="1">
        <w:r w:rsidR="00B553BC" w:rsidRPr="009B689F">
          <w:rPr>
            <w:rStyle w:val="Hyperlink"/>
            <w:noProof/>
            <w14:scene3d>
              <w14:camera w14:prst="orthographicFront"/>
              <w14:lightRig w14:rig="threePt" w14:dir="t">
                <w14:rot w14:lat="0" w14:lon="0" w14:rev="0"/>
              </w14:lightRig>
            </w14:scene3d>
          </w:rPr>
          <w:t>7.1.1</w:t>
        </w:r>
        <w:r w:rsidR="00B553BC">
          <w:rPr>
            <w:rFonts w:asciiTheme="minorHAnsi" w:eastAsiaTheme="minorEastAsia" w:hAnsiTheme="minorHAnsi" w:cstheme="minorBidi"/>
            <w:noProof/>
            <w:color w:val="auto"/>
          </w:rPr>
          <w:tab/>
        </w:r>
        <w:r w:rsidR="00B553BC" w:rsidRPr="009B689F">
          <w:rPr>
            <w:rStyle w:val="Hyperlink"/>
            <w:noProof/>
          </w:rPr>
          <w:t>Ecological response to change in groundwater condition</w:t>
        </w:r>
        <w:r w:rsidR="00B553BC">
          <w:rPr>
            <w:noProof/>
            <w:webHidden/>
          </w:rPr>
          <w:tab/>
        </w:r>
        <w:r w:rsidR="00B553BC">
          <w:rPr>
            <w:noProof/>
            <w:webHidden/>
          </w:rPr>
          <w:fldChar w:fldCharType="begin"/>
        </w:r>
        <w:r w:rsidR="00B553BC">
          <w:rPr>
            <w:noProof/>
            <w:webHidden/>
          </w:rPr>
          <w:instrText xml:space="preserve"> PAGEREF _Toc509996487 \h </w:instrText>
        </w:r>
        <w:r w:rsidR="00B553BC">
          <w:rPr>
            <w:noProof/>
            <w:webHidden/>
          </w:rPr>
        </w:r>
        <w:r w:rsidR="00B553BC">
          <w:rPr>
            <w:noProof/>
            <w:webHidden/>
          </w:rPr>
          <w:fldChar w:fldCharType="separate"/>
        </w:r>
        <w:r w:rsidR="00E96B43">
          <w:rPr>
            <w:noProof/>
            <w:webHidden/>
          </w:rPr>
          <w:t>38</w:t>
        </w:r>
        <w:r w:rsidR="00B553BC">
          <w:rPr>
            <w:noProof/>
            <w:webHidden/>
          </w:rPr>
          <w:fldChar w:fldCharType="end"/>
        </w:r>
      </w:hyperlink>
    </w:p>
    <w:p w14:paraId="31C8BAEB" w14:textId="77777777" w:rsidR="00B553BC" w:rsidRDefault="00085933">
      <w:pPr>
        <w:pStyle w:val="TOC2"/>
        <w:rPr>
          <w:rFonts w:asciiTheme="minorHAnsi" w:eastAsiaTheme="minorEastAsia" w:hAnsiTheme="minorHAnsi" w:cstheme="minorBidi"/>
          <w:color w:val="auto"/>
        </w:rPr>
      </w:pPr>
      <w:hyperlink w:anchor="_Toc509996488" w:history="1">
        <w:r w:rsidR="00B553BC" w:rsidRPr="009B689F">
          <w:rPr>
            <w:rStyle w:val="Hyperlink"/>
          </w:rPr>
          <w:t>7.2</w:t>
        </w:r>
        <w:r w:rsidR="00B553BC">
          <w:rPr>
            <w:rFonts w:asciiTheme="minorHAnsi" w:eastAsiaTheme="minorEastAsia" w:hAnsiTheme="minorHAnsi" w:cstheme="minorBidi"/>
            <w:color w:val="auto"/>
          </w:rPr>
          <w:tab/>
        </w:r>
        <w:r w:rsidR="00B553BC" w:rsidRPr="009B689F">
          <w:rPr>
            <w:rStyle w:val="Hyperlink"/>
          </w:rPr>
          <w:t>Risk assessment</w:t>
        </w:r>
        <w:r w:rsidR="00B553BC">
          <w:rPr>
            <w:webHidden/>
          </w:rPr>
          <w:tab/>
        </w:r>
        <w:r w:rsidR="00B553BC">
          <w:rPr>
            <w:webHidden/>
          </w:rPr>
          <w:fldChar w:fldCharType="begin"/>
        </w:r>
        <w:r w:rsidR="00B553BC">
          <w:rPr>
            <w:webHidden/>
          </w:rPr>
          <w:instrText xml:space="preserve"> PAGEREF _Toc509996488 \h </w:instrText>
        </w:r>
        <w:r w:rsidR="00B553BC">
          <w:rPr>
            <w:webHidden/>
          </w:rPr>
        </w:r>
        <w:r w:rsidR="00B553BC">
          <w:rPr>
            <w:webHidden/>
          </w:rPr>
          <w:fldChar w:fldCharType="separate"/>
        </w:r>
        <w:r w:rsidR="00E96B43">
          <w:rPr>
            <w:webHidden/>
          </w:rPr>
          <w:t>40</w:t>
        </w:r>
        <w:r w:rsidR="00B553BC">
          <w:rPr>
            <w:webHidden/>
          </w:rPr>
          <w:fldChar w:fldCharType="end"/>
        </w:r>
      </w:hyperlink>
    </w:p>
    <w:p w14:paraId="31C8BAEC" w14:textId="77777777" w:rsidR="00B553BC" w:rsidRDefault="00085933">
      <w:pPr>
        <w:pStyle w:val="TOC2"/>
        <w:rPr>
          <w:rFonts w:asciiTheme="minorHAnsi" w:eastAsiaTheme="minorEastAsia" w:hAnsiTheme="minorHAnsi" w:cstheme="minorBidi"/>
          <w:color w:val="auto"/>
        </w:rPr>
      </w:pPr>
      <w:hyperlink w:anchor="_Toc509996489" w:history="1">
        <w:r w:rsidR="00B553BC" w:rsidRPr="009B689F">
          <w:rPr>
            <w:rStyle w:val="Hyperlink"/>
          </w:rPr>
          <w:t>7.3</w:t>
        </w:r>
        <w:r w:rsidR="00B553BC">
          <w:rPr>
            <w:rFonts w:asciiTheme="minorHAnsi" w:eastAsiaTheme="minorEastAsia" w:hAnsiTheme="minorHAnsi" w:cstheme="minorBidi"/>
            <w:color w:val="auto"/>
          </w:rPr>
          <w:tab/>
        </w:r>
        <w:r w:rsidR="00B553BC" w:rsidRPr="009B689F">
          <w:rPr>
            <w:rStyle w:val="Hyperlink"/>
          </w:rPr>
          <w:t>Gaps in current GDE assessments</w:t>
        </w:r>
        <w:r w:rsidR="00B553BC">
          <w:rPr>
            <w:webHidden/>
          </w:rPr>
          <w:tab/>
        </w:r>
        <w:r w:rsidR="00B553BC">
          <w:rPr>
            <w:webHidden/>
          </w:rPr>
          <w:fldChar w:fldCharType="begin"/>
        </w:r>
        <w:r w:rsidR="00B553BC">
          <w:rPr>
            <w:webHidden/>
          </w:rPr>
          <w:instrText xml:space="preserve"> PAGEREF _Toc509996489 \h </w:instrText>
        </w:r>
        <w:r w:rsidR="00B553BC">
          <w:rPr>
            <w:webHidden/>
          </w:rPr>
        </w:r>
        <w:r w:rsidR="00B553BC">
          <w:rPr>
            <w:webHidden/>
          </w:rPr>
          <w:fldChar w:fldCharType="separate"/>
        </w:r>
        <w:r w:rsidR="00E96B43">
          <w:rPr>
            <w:webHidden/>
          </w:rPr>
          <w:t>41</w:t>
        </w:r>
        <w:r w:rsidR="00B553BC">
          <w:rPr>
            <w:webHidden/>
          </w:rPr>
          <w:fldChar w:fldCharType="end"/>
        </w:r>
      </w:hyperlink>
    </w:p>
    <w:p w14:paraId="31C8BAED" w14:textId="77777777" w:rsidR="00B553BC" w:rsidRDefault="00085933">
      <w:pPr>
        <w:pStyle w:val="TOC3"/>
        <w:rPr>
          <w:rFonts w:asciiTheme="minorHAnsi" w:eastAsiaTheme="minorEastAsia" w:hAnsiTheme="minorHAnsi" w:cstheme="minorBidi"/>
          <w:noProof/>
          <w:color w:val="auto"/>
        </w:rPr>
      </w:pPr>
      <w:hyperlink w:anchor="_Toc509996490" w:history="1">
        <w:r w:rsidR="00B553BC" w:rsidRPr="009B689F">
          <w:rPr>
            <w:rStyle w:val="Hyperlink"/>
            <w:noProof/>
            <w14:scene3d>
              <w14:camera w14:prst="orthographicFront"/>
              <w14:lightRig w14:rig="threePt" w14:dir="t">
                <w14:rot w14:lat="0" w14:lon="0" w14:rev="0"/>
              </w14:lightRig>
            </w14:scene3d>
          </w:rPr>
          <w:t>7.3.1</w:t>
        </w:r>
        <w:r w:rsidR="00B553BC">
          <w:rPr>
            <w:rFonts w:asciiTheme="minorHAnsi" w:eastAsiaTheme="minorEastAsia" w:hAnsiTheme="minorHAnsi" w:cstheme="minorBidi"/>
            <w:noProof/>
            <w:color w:val="auto"/>
          </w:rPr>
          <w:tab/>
        </w:r>
        <w:r w:rsidR="00B553BC" w:rsidRPr="009B689F">
          <w:rPr>
            <w:rStyle w:val="Hyperlink"/>
            <w:noProof/>
          </w:rPr>
          <w:t>Information sharing between consultants during the EIA process</w:t>
        </w:r>
        <w:r w:rsidR="00B553BC">
          <w:rPr>
            <w:noProof/>
            <w:webHidden/>
          </w:rPr>
          <w:tab/>
        </w:r>
        <w:r w:rsidR="00B553BC">
          <w:rPr>
            <w:noProof/>
            <w:webHidden/>
          </w:rPr>
          <w:fldChar w:fldCharType="begin"/>
        </w:r>
        <w:r w:rsidR="00B553BC">
          <w:rPr>
            <w:noProof/>
            <w:webHidden/>
          </w:rPr>
          <w:instrText xml:space="preserve"> PAGEREF _Toc509996490 \h </w:instrText>
        </w:r>
        <w:r w:rsidR="00B553BC">
          <w:rPr>
            <w:noProof/>
            <w:webHidden/>
          </w:rPr>
        </w:r>
        <w:r w:rsidR="00B553BC">
          <w:rPr>
            <w:noProof/>
            <w:webHidden/>
          </w:rPr>
          <w:fldChar w:fldCharType="separate"/>
        </w:r>
        <w:r w:rsidR="00E96B43">
          <w:rPr>
            <w:noProof/>
            <w:webHidden/>
          </w:rPr>
          <w:t>41</w:t>
        </w:r>
        <w:r w:rsidR="00B553BC">
          <w:rPr>
            <w:noProof/>
            <w:webHidden/>
          </w:rPr>
          <w:fldChar w:fldCharType="end"/>
        </w:r>
      </w:hyperlink>
    </w:p>
    <w:p w14:paraId="31C8BAEE" w14:textId="77777777" w:rsidR="00B553BC" w:rsidRDefault="00085933">
      <w:pPr>
        <w:pStyle w:val="TOC1"/>
        <w:rPr>
          <w:rFonts w:asciiTheme="minorHAnsi" w:eastAsiaTheme="minorEastAsia" w:hAnsiTheme="minorHAnsi" w:cstheme="minorBidi"/>
          <w:b w:val="0"/>
          <w:color w:val="auto"/>
        </w:rPr>
      </w:pPr>
      <w:hyperlink w:anchor="_Toc509996491" w:history="1">
        <w:r w:rsidR="00B553BC" w:rsidRPr="009B689F">
          <w:rPr>
            <w:rStyle w:val="Hyperlink"/>
          </w:rPr>
          <w:t>8</w:t>
        </w:r>
        <w:r w:rsidR="00B553BC">
          <w:rPr>
            <w:rFonts w:asciiTheme="minorHAnsi" w:eastAsiaTheme="minorEastAsia" w:hAnsiTheme="minorHAnsi" w:cstheme="minorBidi"/>
            <w:b w:val="0"/>
            <w:color w:val="auto"/>
          </w:rPr>
          <w:tab/>
        </w:r>
        <w:r w:rsidR="00B553BC" w:rsidRPr="009B689F">
          <w:rPr>
            <w:rStyle w:val="Hyperlink"/>
          </w:rPr>
          <w:t>Avoidance, mitigation and management options</w:t>
        </w:r>
        <w:r w:rsidR="00B553BC">
          <w:rPr>
            <w:webHidden/>
          </w:rPr>
          <w:tab/>
        </w:r>
        <w:r w:rsidR="00B553BC">
          <w:rPr>
            <w:webHidden/>
          </w:rPr>
          <w:fldChar w:fldCharType="begin"/>
        </w:r>
        <w:r w:rsidR="00B553BC">
          <w:rPr>
            <w:webHidden/>
          </w:rPr>
          <w:instrText xml:space="preserve"> PAGEREF _Toc509996491 \h </w:instrText>
        </w:r>
        <w:r w:rsidR="00B553BC">
          <w:rPr>
            <w:webHidden/>
          </w:rPr>
        </w:r>
        <w:r w:rsidR="00B553BC">
          <w:rPr>
            <w:webHidden/>
          </w:rPr>
          <w:fldChar w:fldCharType="separate"/>
        </w:r>
        <w:r w:rsidR="00E96B43">
          <w:rPr>
            <w:webHidden/>
          </w:rPr>
          <w:t>43</w:t>
        </w:r>
        <w:r w:rsidR="00B553BC">
          <w:rPr>
            <w:webHidden/>
          </w:rPr>
          <w:fldChar w:fldCharType="end"/>
        </w:r>
      </w:hyperlink>
    </w:p>
    <w:p w14:paraId="31C8BAEF" w14:textId="77777777" w:rsidR="00B553BC" w:rsidRDefault="00085933">
      <w:pPr>
        <w:pStyle w:val="TOC2"/>
        <w:rPr>
          <w:rFonts w:asciiTheme="minorHAnsi" w:eastAsiaTheme="minorEastAsia" w:hAnsiTheme="minorHAnsi" w:cstheme="minorBidi"/>
          <w:color w:val="auto"/>
        </w:rPr>
      </w:pPr>
      <w:hyperlink w:anchor="_Toc509996492" w:history="1">
        <w:r w:rsidR="00B553BC" w:rsidRPr="009B689F">
          <w:rPr>
            <w:rStyle w:val="Hyperlink"/>
          </w:rPr>
          <w:t>8.1</w:t>
        </w:r>
        <w:r w:rsidR="00B553BC">
          <w:rPr>
            <w:rFonts w:asciiTheme="minorHAnsi" w:eastAsiaTheme="minorEastAsia" w:hAnsiTheme="minorHAnsi" w:cstheme="minorBidi"/>
            <w:color w:val="auto"/>
          </w:rPr>
          <w:tab/>
        </w:r>
        <w:r w:rsidR="00B553BC" w:rsidRPr="009B689F">
          <w:rPr>
            <w:rStyle w:val="Hyperlink"/>
          </w:rPr>
          <w:t>Management Plans</w:t>
        </w:r>
        <w:r w:rsidR="00B553BC">
          <w:rPr>
            <w:webHidden/>
          </w:rPr>
          <w:tab/>
        </w:r>
        <w:r w:rsidR="00B553BC">
          <w:rPr>
            <w:webHidden/>
          </w:rPr>
          <w:fldChar w:fldCharType="begin"/>
        </w:r>
        <w:r w:rsidR="00B553BC">
          <w:rPr>
            <w:webHidden/>
          </w:rPr>
          <w:instrText xml:space="preserve"> PAGEREF _Toc509996492 \h </w:instrText>
        </w:r>
        <w:r w:rsidR="00B553BC">
          <w:rPr>
            <w:webHidden/>
          </w:rPr>
        </w:r>
        <w:r w:rsidR="00B553BC">
          <w:rPr>
            <w:webHidden/>
          </w:rPr>
          <w:fldChar w:fldCharType="separate"/>
        </w:r>
        <w:r w:rsidR="00E96B43">
          <w:rPr>
            <w:webHidden/>
          </w:rPr>
          <w:t>43</w:t>
        </w:r>
        <w:r w:rsidR="00B553BC">
          <w:rPr>
            <w:webHidden/>
          </w:rPr>
          <w:fldChar w:fldCharType="end"/>
        </w:r>
      </w:hyperlink>
    </w:p>
    <w:p w14:paraId="31C8BAF0" w14:textId="77777777" w:rsidR="00B553BC" w:rsidRDefault="00085933">
      <w:pPr>
        <w:pStyle w:val="TOC3"/>
        <w:rPr>
          <w:rFonts w:asciiTheme="minorHAnsi" w:eastAsiaTheme="minorEastAsia" w:hAnsiTheme="minorHAnsi" w:cstheme="minorBidi"/>
          <w:noProof/>
          <w:color w:val="auto"/>
        </w:rPr>
      </w:pPr>
      <w:hyperlink w:anchor="_Toc509996493" w:history="1">
        <w:r w:rsidR="00B553BC" w:rsidRPr="009B689F">
          <w:rPr>
            <w:rStyle w:val="Hyperlink"/>
            <w:noProof/>
            <w14:scene3d>
              <w14:camera w14:prst="orthographicFront"/>
              <w14:lightRig w14:rig="threePt" w14:dir="t">
                <w14:rot w14:lat="0" w14:lon="0" w14:rev="0"/>
              </w14:lightRig>
            </w14:scene3d>
          </w:rPr>
          <w:t>8.1.1</w:t>
        </w:r>
        <w:r w:rsidR="00B553BC">
          <w:rPr>
            <w:rFonts w:asciiTheme="minorHAnsi" w:eastAsiaTheme="minorEastAsia" w:hAnsiTheme="minorHAnsi" w:cstheme="minorBidi"/>
            <w:noProof/>
            <w:color w:val="auto"/>
          </w:rPr>
          <w:tab/>
        </w:r>
        <w:r w:rsidR="00B553BC" w:rsidRPr="009B689F">
          <w:rPr>
            <w:rStyle w:val="Hyperlink"/>
            <w:noProof/>
          </w:rPr>
          <w:t>Objectives and indicators of management plans</w:t>
        </w:r>
        <w:r w:rsidR="00B553BC">
          <w:rPr>
            <w:noProof/>
            <w:webHidden/>
          </w:rPr>
          <w:tab/>
        </w:r>
        <w:r w:rsidR="00B553BC">
          <w:rPr>
            <w:noProof/>
            <w:webHidden/>
          </w:rPr>
          <w:fldChar w:fldCharType="begin"/>
        </w:r>
        <w:r w:rsidR="00B553BC">
          <w:rPr>
            <w:noProof/>
            <w:webHidden/>
          </w:rPr>
          <w:instrText xml:space="preserve"> PAGEREF _Toc509996493 \h </w:instrText>
        </w:r>
        <w:r w:rsidR="00B553BC">
          <w:rPr>
            <w:noProof/>
            <w:webHidden/>
          </w:rPr>
        </w:r>
        <w:r w:rsidR="00B553BC">
          <w:rPr>
            <w:noProof/>
            <w:webHidden/>
          </w:rPr>
          <w:fldChar w:fldCharType="separate"/>
        </w:r>
        <w:r w:rsidR="00E96B43">
          <w:rPr>
            <w:noProof/>
            <w:webHidden/>
          </w:rPr>
          <w:t>43</w:t>
        </w:r>
        <w:r w:rsidR="00B553BC">
          <w:rPr>
            <w:noProof/>
            <w:webHidden/>
          </w:rPr>
          <w:fldChar w:fldCharType="end"/>
        </w:r>
      </w:hyperlink>
    </w:p>
    <w:p w14:paraId="31C8BAF1" w14:textId="77777777" w:rsidR="00B553BC" w:rsidRDefault="00085933">
      <w:pPr>
        <w:pStyle w:val="TOC3"/>
        <w:rPr>
          <w:rFonts w:asciiTheme="minorHAnsi" w:eastAsiaTheme="minorEastAsia" w:hAnsiTheme="minorHAnsi" w:cstheme="minorBidi"/>
          <w:noProof/>
          <w:color w:val="auto"/>
        </w:rPr>
      </w:pPr>
      <w:hyperlink w:anchor="_Toc509996494" w:history="1">
        <w:r w:rsidR="00B553BC" w:rsidRPr="009B689F">
          <w:rPr>
            <w:rStyle w:val="Hyperlink"/>
            <w:noProof/>
            <w14:scene3d>
              <w14:camera w14:prst="orthographicFront"/>
              <w14:lightRig w14:rig="threePt" w14:dir="t">
                <w14:rot w14:lat="0" w14:lon="0" w14:rev="0"/>
              </w14:lightRig>
            </w14:scene3d>
          </w:rPr>
          <w:t>8.1.2</w:t>
        </w:r>
        <w:r w:rsidR="00B553BC">
          <w:rPr>
            <w:rFonts w:asciiTheme="minorHAnsi" w:eastAsiaTheme="minorEastAsia" w:hAnsiTheme="minorHAnsi" w:cstheme="minorBidi"/>
            <w:noProof/>
            <w:color w:val="auto"/>
          </w:rPr>
          <w:tab/>
        </w:r>
        <w:r w:rsidR="00B553BC" w:rsidRPr="009B689F">
          <w:rPr>
            <w:rStyle w:val="Hyperlink"/>
            <w:noProof/>
          </w:rPr>
          <w:t>Avoidance</w:t>
        </w:r>
        <w:r w:rsidR="00B553BC">
          <w:rPr>
            <w:noProof/>
            <w:webHidden/>
          </w:rPr>
          <w:tab/>
        </w:r>
        <w:r w:rsidR="00B553BC">
          <w:rPr>
            <w:noProof/>
            <w:webHidden/>
          </w:rPr>
          <w:fldChar w:fldCharType="begin"/>
        </w:r>
        <w:r w:rsidR="00B553BC">
          <w:rPr>
            <w:noProof/>
            <w:webHidden/>
          </w:rPr>
          <w:instrText xml:space="preserve"> PAGEREF _Toc509996494 \h </w:instrText>
        </w:r>
        <w:r w:rsidR="00B553BC">
          <w:rPr>
            <w:noProof/>
            <w:webHidden/>
          </w:rPr>
        </w:r>
        <w:r w:rsidR="00B553BC">
          <w:rPr>
            <w:noProof/>
            <w:webHidden/>
          </w:rPr>
          <w:fldChar w:fldCharType="separate"/>
        </w:r>
        <w:r w:rsidR="00E96B43">
          <w:rPr>
            <w:noProof/>
            <w:webHidden/>
          </w:rPr>
          <w:t>44</w:t>
        </w:r>
        <w:r w:rsidR="00B553BC">
          <w:rPr>
            <w:noProof/>
            <w:webHidden/>
          </w:rPr>
          <w:fldChar w:fldCharType="end"/>
        </w:r>
      </w:hyperlink>
    </w:p>
    <w:p w14:paraId="31C8BAF2" w14:textId="77777777" w:rsidR="00B553BC" w:rsidRDefault="00085933">
      <w:pPr>
        <w:pStyle w:val="TOC3"/>
        <w:rPr>
          <w:rFonts w:asciiTheme="minorHAnsi" w:eastAsiaTheme="minorEastAsia" w:hAnsiTheme="minorHAnsi" w:cstheme="minorBidi"/>
          <w:noProof/>
          <w:color w:val="auto"/>
        </w:rPr>
      </w:pPr>
      <w:hyperlink w:anchor="_Toc509996495" w:history="1">
        <w:r w:rsidR="00B553BC" w:rsidRPr="009B689F">
          <w:rPr>
            <w:rStyle w:val="Hyperlink"/>
            <w:noProof/>
            <w14:scene3d>
              <w14:camera w14:prst="orthographicFront"/>
              <w14:lightRig w14:rig="threePt" w14:dir="t">
                <w14:rot w14:lat="0" w14:lon="0" w14:rev="0"/>
              </w14:lightRig>
            </w14:scene3d>
          </w:rPr>
          <w:t>8.1.3</w:t>
        </w:r>
        <w:r w:rsidR="00B553BC">
          <w:rPr>
            <w:rFonts w:asciiTheme="minorHAnsi" w:eastAsiaTheme="minorEastAsia" w:hAnsiTheme="minorHAnsi" w:cstheme="minorBidi"/>
            <w:noProof/>
            <w:color w:val="auto"/>
          </w:rPr>
          <w:tab/>
        </w:r>
        <w:r w:rsidR="00B553BC" w:rsidRPr="009B689F">
          <w:rPr>
            <w:rStyle w:val="Hyperlink"/>
            <w:noProof/>
          </w:rPr>
          <w:t>Mitigation</w:t>
        </w:r>
        <w:r w:rsidR="00B553BC">
          <w:rPr>
            <w:noProof/>
            <w:webHidden/>
          </w:rPr>
          <w:tab/>
        </w:r>
        <w:r w:rsidR="00B553BC">
          <w:rPr>
            <w:noProof/>
            <w:webHidden/>
          </w:rPr>
          <w:fldChar w:fldCharType="begin"/>
        </w:r>
        <w:r w:rsidR="00B553BC">
          <w:rPr>
            <w:noProof/>
            <w:webHidden/>
          </w:rPr>
          <w:instrText xml:space="preserve"> PAGEREF _Toc509996495 \h </w:instrText>
        </w:r>
        <w:r w:rsidR="00B553BC">
          <w:rPr>
            <w:noProof/>
            <w:webHidden/>
          </w:rPr>
        </w:r>
        <w:r w:rsidR="00B553BC">
          <w:rPr>
            <w:noProof/>
            <w:webHidden/>
          </w:rPr>
          <w:fldChar w:fldCharType="separate"/>
        </w:r>
        <w:r w:rsidR="00E96B43">
          <w:rPr>
            <w:noProof/>
            <w:webHidden/>
          </w:rPr>
          <w:t>44</w:t>
        </w:r>
        <w:r w:rsidR="00B553BC">
          <w:rPr>
            <w:noProof/>
            <w:webHidden/>
          </w:rPr>
          <w:fldChar w:fldCharType="end"/>
        </w:r>
      </w:hyperlink>
    </w:p>
    <w:p w14:paraId="31C8BAF3" w14:textId="77777777" w:rsidR="00B553BC" w:rsidRDefault="00085933">
      <w:pPr>
        <w:pStyle w:val="TOC3"/>
        <w:rPr>
          <w:rFonts w:asciiTheme="minorHAnsi" w:eastAsiaTheme="minorEastAsia" w:hAnsiTheme="minorHAnsi" w:cstheme="minorBidi"/>
          <w:noProof/>
          <w:color w:val="auto"/>
        </w:rPr>
      </w:pPr>
      <w:hyperlink w:anchor="_Toc509996496" w:history="1">
        <w:r w:rsidR="00B553BC" w:rsidRPr="009B689F">
          <w:rPr>
            <w:rStyle w:val="Hyperlink"/>
            <w:noProof/>
            <w14:scene3d>
              <w14:camera w14:prst="orthographicFront"/>
              <w14:lightRig w14:rig="threePt" w14:dir="t">
                <w14:rot w14:lat="0" w14:lon="0" w14:rev="0"/>
              </w14:lightRig>
            </w14:scene3d>
          </w:rPr>
          <w:t>8.1.4</w:t>
        </w:r>
        <w:r w:rsidR="00B553BC">
          <w:rPr>
            <w:rFonts w:asciiTheme="minorHAnsi" w:eastAsiaTheme="minorEastAsia" w:hAnsiTheme="minorHAnsi" w:cstheme="minorBidi"/>
            <w:noProof/>
            <w:color w:val="auto"/>
          </w:rPr>
          <w:tab/>
        </w:r>
        <w:r w:rsidR="00B553BC" w:rsidRPr="009B689F">
          <w:rPr>
            <w:rStyle w:val="Hyperlink"/>
            <w:noProof/>
          </w:rPr>
          <w:t>Environmental Offsets</w:t>
        </w:r>
        <w:r w:rsidR="00B553BC">
          <w:rPr>
            <w:noProof/>
            <w:webHidden/>
          </w:rPr>
          <w:tab/>
        </w:r>
        <w:r w:rsidR="00B553BC">
          <w:rPr>
            <w:noProof/>
            <w:webHidden/>
          </w:rPr>
          <w:fldChar w:fldCharType="begin"/>
        </w:r>
        <w:r w:rsidR="00B553BC">
          <w:rPr>
            <w:noProof/>
            <w:webHidden/>
          </w:rPr>
          <w:instrText xml:space="preserve"> PAGEREF _Toc509996496 \h </w:instrText>
        </w:r>
        <w:r w:rsidR="00B553BC">
          <w:rPr>
            <w:noProof/>
            <w:webHidden/>
          </w:rPr>
        </w:r>
        <w:r w:rsidR="00B553BC">
          <w:rPr>
            <w:noProof/>
            <w:webHidden/>
          </w:rPr>
          <w:fldChar w:fldCharType="separate"/>
        </w:r>
        <w:r w:rsidR="00E96B43">
          <w:rPr>
            <w:noProof/>
            <w:webHidden/>
          </w:rPr>
          <w:t>46</w:t>
        </w:r>
        <w:r w:rsidR="00B553BC">
          <w:rPr>
            <w:noProof/>
            <w:webHidden/>
          </w:rPr>
          <w:fldChar w:fldCharType="end"/>
        </w:r>
      </w:hyperlink>
    </w:p>
    <w:p w14:paraId="31C8BAF4" w14:textId="77777777" w:rsidR="00B553BC" w:rsidRDefault="00085933">
      <w:pPr>
        <w:pStyle w:val="TOC3"/>
        <w:rPr>
          <w:rFonts w:asciiTheme="minorHAnsi" w:eastAsiaTheme="minorEastAsia" w:hAnsiTheme="minorHAnsi" w:cstheme="minorBidi"/>
          <w:noProof/>
          <w:color w:val="auto"/>
        </w:rPr>
      </w:pPr>
      <w:hyperlink w:anchor="_Toc509996497" w:history="1">
        <w:r w:rsidR="00B553BC" w:rsidRPr="009B689F">
          <w:rPr>
            <w:rStyle w:val="Hyperlink"/>
            <w:noProof/>
            <w14:scene3d>
              <w14:camera w14:prst="orthographicFront"/>
              <w14:lightRig w14:rig="threePt" w14:dir="t">
                <w14:rot w14:lat="0" w14:lon="0" w14:rev="0"/>
              </w14:lightRig>
            </w14:scene3d>
          </w:rPr>
          <w:t>8.1.5</w:t>
        </w:r>
        <w:r w:rsidR="00B553BC">
          <w:rPr>
            <w:rFonts w:asciiTheme="minorHAnsi" w:eastAsiaTheme="minorEastAsia" w:hAnsiTheme="minorHAnsi" w:cstheme="minorBidi"/>
            <w:noProof/>
            <w:color w:val="auto"/>
          </w:rPr>
          <w:tab/>
        </w:r>
        <w:r w:rsidR="00B553BC" w:rsidRPr="009B689F">
          <w:rPr>
            <w:rStyle w:val="Hyperlink"/>
            <w:noProof/>
          </w:rPr>
          <w:t>Monitoring</w:t>
        </w:r>
        <w:r w:rsidR="00B553BC">
          <w:rPr>
            <w:noProof/>
            <w:webHidden/>
          </w:rPr>
          <w:tab/>
        </w:r>
        <w:r w:rsidR="00B553BC">
          <w:rPr>
            <w:noProof/>
            <w:webHidden/>
          </w:rPr>
          <w:fldChar w:fldCharType="begin"/>
        </w:r>
        <w:r w:rsidR="00B553BC">
          <w:rPr>
            <w:noProof/>
            <w:webHidden/>
          </w:rPr>
          <w:instrText xml:space="preserve"> PAGEREF _Toc509996497 \h </w:instrText>
        </w:r>
        <w:r w:rsidR="00B553BC">
          <w:rPr>
            <w:noProof/>
            <w:webHidden/>
          </w:rPr>
        </w:r>
        <w:r w:rsidR="00B553BC">
          <w:rPr>
            <w:noProof/>
            <w:webHidden/>
          </w:rPr>
          <w:fldChar w:fldCharType="separate"/>
        </w:r>
        <w:r w:rsidR="00E96B43">
          <w:rPr>
            <w:noProof/>
            <w:webHidden/>
          </w:rPr>
          <w:t>46</w:t>
        </w:r>
        <w:r w:rsidR="00B553BC">
          <w:rPr>
            <w:noProof/>
            <w:webHidden/>
          </w:rPr>
          <w:fldChar w:fldCharType="end"/>
        </w:r>
      </w:hyperlink>
    </w:p>
    <w:p w14:paraId="31C8BAF5" w14:textId="77777777" w:rsidR="00B553BC" w:rsidRDefault="00085933">
      <w:pPr>
        <w:pStyle w:val="TOC1"/>
        <w:rPr>
          <w:rFonts w:asciiTheme="minorHAnsi" w:eastAsiaTheme="minorEastAsia" w:hAnsiTheme="minorHAnsi" w:cstheme="minorBidi"/>
          <w:b w:val="0"/>
          <w:color w:val="auto"/>
        </w:rPr>
      </w:pPr>
      <w:hyperlink w:anchor="_Toc509996498" w:history="1">
        <w:r w:rsidR="00B553BC" w:rsidRPr="009B689F">
          <w:rPr>
            <w:rStyle w:val="Hyperlink"/>
          </w:rPr>
          <w:t>9</w:t>
        </w:r>
        <w:r w:rsidR="00B553BC">
          <w:rPr>
            <w:rFonts w:asciiTheme="minorHAnsi" w:eastAsiaTheme="minorEastAsia" w:hAnsiTheme="minorHAnsi" w:cstheme="minorBidi"/>
            <w:b w:val="0"/>
            <w:color w:val="auto"/>
          </w:rPr>
          <w:tab/>
        </w:r>
        <w:r w:rsidR="00B553BC" w:rsidRPr="009B689F">
          <w:rPr>
            <w:rStyle w:val="Hyperlink"/>
          </w:rPr>
          <w:t>Concluding statements and recommendations</w:t>
        </w:r>
        <w:r w:rsidR="00B553BC">
          <w:rPr>
            <w:webHidden/>
          </w:rPr>
          <w:tab/>
        </w:r>
        <w:r w:rsidR="00B553BC">
          <w:rPr>
            <w:webHidden/>
          </w:rPr>
          <w:fldChar w:fldCharType="begin"/>
        </w:r>
        <w:r w:rsidR="00B553BC">
          <w:rPr>
            <w:webHidden/>
          </w:rPr>
          <w:instrText xml:space="preserve"> PAGEREF _Toc509996498 \h </w:instrText>
        </w:r>
        <w:r w:rsidR="00B553BC">
          <w:rPr>
            <w:webHidden/>
          </w:rPr>
        </w:r>
        <w:r w:rsidR="00B553BC">
          <w:rPr>
            <w:webHidden/>
          </w:rPr>
          <w:fldChar w:fldCharType="separate"/>
        </w:r>
        <w:r w:rsidR="00E96B43">
          <w:rPr>
            <w:webHidden/>
          </w:rPr>
          <w:t>48</w:t>
        </w:r>
        <w:r w:rsidR="00B553BC">
          <w:rPr>
            <w:webHidden/>
          </w:rPr>
          <w:fldChar w:fldCharType="end"/>
        </w:r>
      </w:hyperlink>
    </w:p>
    <w:p w14:paraId="31C8BAF6" w14:textId="77777777" w:rsidR="00B553BC" w:rsidRDefault="00085933">
      <w:pPr>
        <w:pStyle w:val="TOC2"/>
        <w:rPr>
          <w:rFonts w:asciiTheme="minorHAnsi" w:eastAsiaTheme="minorEastAsia" w:hAnsiTheme="minorHAnsi" w:cstheme="minorBidi"/>
          <w:color w:val="auto"/>
        </w:rPr>
      </w:pPr>
      <w:hyperlink w:anchor="_Toc509996499" w:history="1">
        <w:r w:rsidR="00B553BC" w:rsidRPr="009B689F">
          <w:rPr>
            <w:rStyle w:val="Hyperlink"/>
          </w:rPr>
          <w:t>9.1</w:t>
        </w:r>
        <w:r w:rsidR="00B553BC">
          <w:rPr>
            <w:rFonts w:asciiTheme="minorHAnsi" w:eastAsiaTheme="minorEastAsia" w:hAnsiTheme="minorHAnsi" w:cstheme="minorBidi"/>
            <w:color w:val="auto"/>
          </w:rPr>
          <w:tab/>
        </w:r>
        <w:r w:rsidR="00B553BC" w:rsidRPr="009B689F">
          <w:rPr>
            <w:rStyle w:val="Hyperlink"/>
          </w:rPr>
          <w:t>Summary of recommendations</w:t>
        </w:r>
        <w:r w:rsidR="00B553BC">
          <w:rPr>
            <w:webHidden/>
          </w:rPr>
          <w:tab/>
        </w:r>
        <w:r w:rsidR="00B553BC">
          <w:rPr>
            <w:webHidden/>
          </w:rPr>
          <w:fldChar w:fldCharType="begin"/>
        </w:r>
        <w:r w:rsidR="00B553BC">
          <w:rPr>
            <w:webHidden/>
          </w:rPr>
          <w:instrText xml:space="preserve"> PAGEREF _Toc509996499 \h </w:instrText>
        </w:r>
        <w:r w:rsidR="00B553BC">
          <w:rPr>
            <w:webHidden/>
          </w:rPr>
        </w:r>
        <w:r w:rsidR="00B553BC">
          <w:rPr>
            <w:webHidden/>
          </w:rPr>
          <w:fldChar w:fldCharType="separate"/>
        </w:r>
        <w:r w:rsidR="00E96B43">
          <w:rPr>
            <w:webHidden/>
          </w:rPr>
          <w:t>48</w:t>
        </w:r>
        <w:r w:rsidR="00B553BC">
          <w:rPr>
            <w:webHidden/>
          </w:rPr>
          <w:fldChar w:fldCharType="end"/>
        </w:r>
      </w:hyperlink>
    </w:p>
    <w:p w14:paraId="31C8BAF7" w14:textId="77777777" w:rsidR="00B553BC" w:rsidRDefault="00085933">
      <w:pPr>
        <w:pStyle w:val="TOC1"/>
        <w:rPr>
          <w:rFonts w:asciiTheme="minorHAnsi" w:eastAsiaTheme="minorEastAsia" w:hAnsiTheme="minorHAnsi" w:cstheme="minorBidi"/>
          <w:b w:val="0"/>
          <w:color w:val="auto"/>
        </w:rPr>
      </w:pPr>
      <w:hyperlink w:anchor="_Toc509996500" w:history="1">
        <w:r w:rsidR="00B553BC" w:rsidRPr="009B689F">
          <w:rPr>
            <w:rStyle w:val="Hyperlink"/>
          </w:rPr>
          <w:t>10</w:t>
        </w:r>
        <w:r w:rsidR="00B553BC">
          <w:rPr>
            <w:rFonts w:asciiTheme="minorHAnsi" w:eastAsiaTheme="minorEastAsia" w:hAnsiTheme="minorHAnsi" w:cstheme="minorBidi"/>
            <w:b w:val="0"/>
            <w:color w:val="auto"/>
          </w:rPr>
          <w:tab/>
        </w:r>
        <w:r w:rsidR="00B553BC" w:rsidRPr="009B689F">
          <w:rPr>
            <w:rStyle w:val="Hyperlink"/>
          </w:rPr>
          <w:t>Acknowledgements</w:t>
        </w:r>
        <w:r w:rsidR="00B553BC">
          <w:rPr>
            <w:webHidden/>
          </w:rPr>
          <w:tab/>
        </w:r>
        <w:r w:rsidR="00B553BC">
          <w:rPr>
            <w:webHidden/>
          </w:rPr>
          <w:fldChar w:fldCharType="begin"/>
        </w:r>
        <w:r w:rsidR="00B553BC">
          <w:rPr>
            <w:webHidden/>
          </w:rPr>
          <w:instrText xml:space="preserve"> PAGEREF _Toc509996500 \h </w:instrText>
        </w:r>
        <w:r w:rsidR="00B553BC">
          <w:rPr>
            <w:webHidden/>
          </w:rPr>
        </w:r>
        <w:r w:rsidR="00B553BC">
          <w:rPr>
            <w:webHidden/>
          </w:rPr>
          <w:fldChar w:fldCharType="separate"/>
        </w:r>
        <w:r w:rsidR="00E96B43">
          <w:rPr>
            <w:webHidden/>
          </w:rPr>
          <w:t>50</w:t>
        </w:r>
        <w:r w:rsidR="00B553BC">
          <w:rPr>
            <w:webHidden/>
          </w:rPr>
          <w:fldChar w:fldCharType="end"/>
        </w:r>
      </w:hyperlink>
    </w:p>
    <w:p w14:paraId="31C8BAF8" w14:textId="77777777" w:rsidR="00B553BC" w:rsidRDefault="00085933">
      <w:pPr>
        <w:pStyle w:val="TOC1"/>
        <w:rPr>
          <w:rFonts w:asciiTheme="minorHAnsi" w:eastAsiaTheme="minorEastAsia" w:hAnsiTheme="minorHAnsi" w:cstheme="minorBidi"/>
          <w:b w:val="0"/>
          <w:color w:val="auto"/>
        </w:rPr>
      </w:pPr>
      <w:hyperlink w:anchor="_Toc509996501" w:history="1">
        <w:r w:rsidR="00B553BC" w:rsidRPr="009B689F">
          <w:rPr>
            <w:rStyle w:val="Hyperlink"/>
          </w:rPr>
          <w:t>11</w:t>
        </w:r>
        <w:r w:rsidR="00B553BC">
          <w:rPr>
            <w:rFonts w:asciiTheme="minorHAnsi" w:eastAsiaTheme="minorEastAsia" w:hAnsiTheme="minorHAnsi" w:cstheme="minorBidi"/>
            <w:b w:val="0"/>
            <w:color w:val="auto"/>
          </w:rPr>
          <w:tab/>
        </w:r>
        <w:r w:rsidR="00B553BC" w:rsidRPr="009B689F">
          <w:rPr>
            <w:rStyle w:val="Hyperlink"/>
          </w:rPr>
          <w:t>Abbreviations and acronyms</w:t>
        </w:r>
        <w:r w:rsidR="00B553BC">
          <w:rPr>
            <w:webHidden/>
          </w:rPr>
          <w:tab/>
        </w:r>
        <w:r w:rsidR="00B553BC">
          <w:rPr>
            <w:webHidden/>
          </w:rPr>
          <w:fldChar w:fldCharType="begin"/>
        </w:r>
        <w:r w:rsidR="00B553BC">
          <w:rPr>
            <w:webHidden/>
          </w:rPr>
          <w:instrText xml:space="preserve"> PAGEREF _Toc509996501 \h </w:instrText>
        </w:r>
        <w:r w:rsidR="00B553BC">
          <w:rPr>
            <w:webHidden/>
          </w:rPr>
        </w:r>
        <w:r w:rsidR="00B553BC">
          <w:rPr>
            <w:webHidden/>
          </w:rPr>
          <w:fldChar w:fldCharType="separate"/>
        </w:r>
        <w:r w:rsidR="00E96B43">
          <w:rPr>
            <w:webHidden/>
          </w:rPr>
          <w:t>51</w:t>
        </w:r>
        <w:r w:rsidR="00B553BC">
          <w:rPr>
            <w:webHidden/>
          </w:rPr>
          <w:fldChar w:fldCharType="end"/>
        </w:r>
      </w:hyperlink>
    </w:p>
    <w:p w14:paraId="31C8BAF9" w14:textId="77777777" w:rsidR="00B553BC" w:rsidRDefault="00085933">
      <w:pPr>
        <w:pStyle w:val="TOC1"/>
        <w:rPr>
          <w:rFonts w:asciiTheme="minorHAnsi" w:eastAsiaTheme="minorEastAsia" w:hAnsiTheme="minorHAnsi" w:cstheme="minorBidi"/>
          <w:b w:val="0"/>
          <w:color w:val="auto"/>
        </w:rPr>
      </w:pPr>
      <w:hyperlink w:anchor="_Toc509996502" w:history="1">
        <w:r w:rsidR="00B553BC" w:rsidRPr="009B689F">
          <w:rPr>
            <w:rStyle w:val="Hyperlink"/>
          </w:rPr>
          <w:t>12</w:t>
        </w:r>
        <w:r w:rsidR="00B553BC">
          <w:rPr>
            <w:rFonts w:asciiTheme="minorHAnsi" w:eastAsiaTheme="minorEastAsia" w:hAnsiTheme="minorHAnsi" w:cstheme="minorBidi"/>
            <w:b w:val="0"/>
            <w:color w:val="auto"/>
          </w:rPr>
          <w:tab/>
        </w:r>
        <w:r w:rsidR="00B553BC" w:rsidRPr="009B689F">
          <w:rPr>
            <w:rStyle w:val="Hyperlink"/>
          </w:rPr>
          <w:t>Glossary</w:t>
        </w:r>
        <w:r w:rsidR="00B553BC">
          <w:rPr>
            <w:webHidden/>
          </w:rPr>
          <w:tab/>
        </w:r>
        <w:r w:rsidR="00B553BC">
          <w:rPr>
            <w:webHidden/>
          </w:rPr>
          <w:fldChar w:fldCharType="begin"/>
        </w:r>
        <w:r w:rsidR="00B553BC">
          <w:rPr>
            <w:webHidden/>
          </w:rPr>
          <w:instrText xml:space="preserve"> PAGEREF _Toc509996502 \h </w:instrText>
        </w:r>
        <w:r w:rsidR="00B553BC">
          <w:rPr>
            <w:webHidden/>
          </w:rPr>
        </w:r>
        <w:r w:rsidR="00B553BC">
          <w:rPr>
            <w:webHidden/>
          </w:rPr>
          <w:fldChar w:fldCharType="separate"/>
        </w:r>
        <w:r w:rsidR="00E96B43">
          <w:rPr>
            <w:webHidden/>
          </w:rPr>
          <w:t>52</w:t>
        </w:r>
        <w:r w:rsidR="00B553BC">
          <w:rPr>
            <w:webHidden/>
          </w:rPr>
          <w:fldChar w:fldCharType="end"/>
        </w:r>
      </w:hyperlink>
    </w:p>
    <w:p w14:paraId="31C8BAFA" w14:textId="77777777" w:rsidR="00B553BC" w:rsidRDefault="00085933">
      <w:pPr>
        <w:pStyle w:val="TOC1"/>
        <w:rPr>
          <w:rFonts w:asciiTheme="minorHAnsi" w:eastAsiaTheme="minorEastAsia" w:hAnsiTheme="minorHAnsi" w:cstheme="minorBidi"/>
          <w:b w:val="0"/>
          <w:color w:val="auto"/>
        </w:rPr>
      </w:pPr>
      <w:hyperlink w:anchor="_Toc509996503" w:history="1">
        <w:r w:rsidR="00B553BC" w:rsidRPr="009B689F">
          <w:rPr>
            <w:rStyle w:val="Hyperlink"/>
          </w:rPr>
          <w:t>13</w:t>
        </w:r>
        <w:r w:rsidR="00B553BC">
          <w:rPr>
            <w:rFonts w:asciiTheme="minorHAnsi" w:eastAsiaTheme="minorEastAsia" w:hAnsiTheme="minorHAnsi" w:cstheme="minorBidi"/>
            <w:b w:val="0"/>
            <w:color w:val="auto"/>
          </w:rPr>
          <w:tab/>
        </w:r>
        <w:r w:rsidR="00B553BC" w:rsidRPr="009B689F">
          <w:rPr>
            <w:rStyle w:val="Hyperlink"/>
          </w:rPr>
          <w:t>References</w:t>
        </w:r>
        <w:r w:rsidR="00B553BC">
          <w:rPr>
            <w:webHidden/>
          </w:rPr>
          <w:tab/>
        </w:r>
        <w:r w:rsidR="00B553BC">
          <w:rPr>
            <w:webHidden/>
          </w:rPr>
          <w:fldChar w:fldCharType="begin"/>
        </w:r>
        <w:r w:rsidR="00B553BC">
          <w:rPr>
            <w:webHidden/>
          </w:rPr>
          <w:instrText xml:space="preserve"> PAGEREF _Toc509996503 \h </w:instrText>
        </w:r>
        <w:r w:rsidR="00B553BC">
          <w:rPr>
            <w:webHidden/>
          </w:rPr>
        </w:r>
        <w:r w:rsidR="00B553BC">
          <w:rPr>
            <w:webHidden/>
          </w:rPr>
          <w:fldChar w:fldCharType="separate"/>
        </w:r>
        <w:r w:rsidR="00E96B43">
          <w:rPr>
            <w:webHidden/>
          </w:rPr>
          <w:t>54</w:t>
        </w:r>
        <w:r w:rsidR="00B553BC">
          <w:rPr>
            <w:webHidden/>
          </w:rPr>
          <w:fldChar w:fldCharType="end"/>
        </w:r>
      </w:hyperlink>
    </w:p>
    <w:p w14:paraId="31C8BAFB" w14:textId="77777777" w:rsidR="00B553BC" w:rsidRDefault="00085933">
      <w:pPr>
        <w:pStyle w:val="TOC1"/>
        <w:tabs>
          <w:tab w:val="left" w:pos="1320"/>
        </w:tabs>
        <w:rPr>
          <w:rFonts w:asciiTheme="minorHAnsi" w:eastAsiaTheme="minorEastAsia" w:hAnsiTheme="minorHAnsi" w:cstheme="minorBidi"/>
          <w:b w:val="0"/>
          <w:color w:val="auto"/>
        </w:rPr>
      </w:pPr>
      <w:hyperlink w:anchor="_Toc509996504" w:history="1">
        <w:r w:rsidR="00B553BC" w:rsidRPr="009B689F">
          <w:rPr>
            <w:rStyle w:val="Hyperlink"/>
          </w:rPr>
          <w:t>Appendix A</w:t>
        </w:r>
        <w:r w:rsidR="00B553BC">
          <w:rPr>
            <w:rFonts w:asciiTheme="minorHAnsi" w:eastAsiaTheme="minorEastAsia" w:hAnsiTheme="minorHAnsi" w:cstheme="minorBidi"/>
            <w:b w:val="0"/>
            <w:color w:val="auto"/>
          </w:rPr>
          <w:tab/>
        </w:r>
        <w:r w:rsidR="00B553BC" w:rsidRPr="009B689F">
          <w:rPr>
            <w:rStyle w:val="Hyperlink"/>
          </w:rPr>
          <w:t>Impacts</w:t>
        </w:r>
        <w:r w:rsidR="00B553BC">
          <w:rPr>
            <w:webHidden/>
          </w:rPr>
          <w:tab/>
        </w:r>
        <w:r w:rsidR="00B553BC">
          <w:rPr>
            <w:webHidden/>
          </w:rPr>
          <w:fldChar w:fldCharType="begin"/>
        </w:r>
        <w:r w:rsidR="00B553BC">
          <w:rPr>
            <w:webHidden/>
          </w:rPr>
          <w:instrText xml:space="preserve"> PAGEREF _Toc509996504 \h </w:instrText>
        </w:r>
        <w:r w:rsidR="00B553BC">
          <w:rPr>
            <w:webHidden/>
          </w:rPr>
        </w:r>
        <w:r w:rsidR="00B553BC">
          <w:rPr>
            <w:webHidden/>
          </w:rPr>
          <w:fldChar w:fldCharType="separate"/>
        </w:r>
        <w:r w:rsidR="00E96B43">
          <w:rPr>
            <w:webHidden/>
          </w:rPr>
          <w:t>58</w:t>
        </w:r>
        <w:r w:rsidR="00B553BC">
          <w:rPr>
            <w:webHidden/>
          </w:rPr>
          <w:fldChar w:fldCharType="end"/>
        </w:r>
      </w:hyperlink>
    </w:p>
    <w:p w14:paraId="31C8BAFC" w14:textId="77777777" w:rsidR="00B553BC" w:rsidRDefault="00085933">
      <w:pPr>
        <w:pStyle w:val="TOC1"/>
        <w:tabs>
          <w:tab w:val="left" w:pos="1320"/>
        </w:tabs>
        <w:rPr>
          <w:rFonts w:asciiTheme="minorHAnsi" w:eastAsiaTheme="minorEastAsia" w:hAnsiTheme="minorHAnsi" w:cstheme="minorBidi"/>
          <w:b w:val="0"/>
          <w:color w:val="auto"/>
        </w:rPr>
      </w:pPr>
      <w:hyperlink w:anchor="_Toc509996505" w:history="1">
        <w:r w:rsidR="00B553BC" w:rsidRPr="009B689F">
          <w:rPr>
            <w:rStyle w:val="Hyperlink"/>
          </w:rPr>
          <w:t>Appendix B</w:t>
        </w:r>
        <w:r w:rsidR="00B553BC">
          <w:rPr>
            <w:rFonts w:asciiTheme="minorHAnsi" w:eastAsiaTheme="minorEastAsia" w:hAnsiTheme="minorHAnsi" w:cstheme="minorBidi"/>
            <w:b w:val="0"/>
            <w:color w:val="auto"/>
          </w:rPr>
          <w:tab/>
        </w:r>
        <w:r w:rsidR="00B553BC" w:rsidRPr="009B689F">
          <w:rPr>
            <w:rStyle w:val="Hyperlink"/>
          </w:rPr>
          <w:t>Tools to identify GDEs</w:t>
        </w:r>
        <w:r w:rsidR="00B553BC">
          <w:rPr>
            <w:webHidden/>
          </w:rPr>
          <w:tab/>
        </w:r>
        <w:r w:rsidR="00B553BC">
          <w:rPr>
            <w:webHidden/>
          </w:rPr>
          <w:fldChar w:fldCharType="begin"/>
        </w:r>
        <w:r w:rsidR="00B553BC">
          <w:rPr>
            <w:webHidden/>
          </w:rPr>
          <w:instrText xml:space="preserve"> PAGEREF _Toc509996505 \h </w:instrText>
        </w:r>
        <w:r w:rsidR="00B553BC">
          <w:rPr>
            <w:webHidden/>
          </w:rPr>
        </w:r>
        <w:r w:rsidR="00B553BC">
          <w:rPr>
            <w:webHidden/>
          </w:rPr>
          <w:fldChar w:fldCharType="separate"/>
        </w:r>
        <w:r w:rsidR="00E96B43">
          <w:rPr>
            <w:webHidden/>
          </w:rPr>
          <w:t>60</w:t>
        </w:r>
        <w:r w:rsidR="00B553BC">
          <w:rPr>
            <w:webHidden/>
          </w:rPr>
          <w:fldChar w:fldCharType="end"/>
        </w:r>
      </w:hyperlink>
    </w:p>
    <w:p w14:paraId="31C8BAFD" w14:textId="77777777" w:rsidR="00B553BC" w:rsidRDefault="00085933">
      <w:pPr>
        <w:pStyle w:val="TOC1"/>
        <w:tabs>
          <w:tab w:val="left" w:pos="1320"/>
        </w:tabs>
        <w:rPr>
          <w:rFonts w:asciiTheme="minorHAnsi" w:eastAsiaTheme="minorEastAsia" w:hAnsiTheme="minorHAnsi" w:cstheme="minorBidi"/>
          <w:b w:val="0"/>
          <w:color w:val="auto"/>
        </w:rPr>
      </w:pPr>
      <w:hyperlink w:anchor="_Toc509996506" w:history="1">
        <w:r w:rsidR="00B553BC" w:rsidRPr="009B689F">
          <w:rPr>
            <w:rStyle w:val="Hyperlink"/>
          </w:rPr>
          <w:t>Appendix C</w:t>
        </w:r>
        <w:r w:rsidR="00B553BC">
          <w:rPr>
            <w:rFonts w:asciiTheme="minorHAnsi" w:eastAsiaTheme="minorEastAsia" w:hAnsiTheme="minorHAnsi" w:cstheme="minorBidi"/>
            <w:b w:val="0"/>
            <w:color w:val="auto"/>
          </w:rPr>
          <w:tab/>
        </w:r>
        <w:r w:rsidR="00B553BC" w:rsidRPr="009B689F">
          <w:rPr>
            <w:rStyle w:val="Hyperlink"/>
          </w:rPr>
          <w:t>Resources required for identifying GDEs, including national data availability</w:t>
        </w:r>
        <w:r w:rsidR="00B553BC">
          <w:rPr>
            <w:webHidden/>
          </w:rPr>
          <w:tab/>
        </w:r>
        <w:r w:rsidR="00B553BC">
          <w:rPr>
            <w:webHidden/>
          </w:rPr>
          <w:fldChar w:fldCharType="begin"/>
        </w:r>
        <w:r w:rsidR="00B553BC">
          <w:rPr>
            <w:webHidden/>
          </w:rPr>
          <w:instrText xml:space="preserve"> PAGEREF _Toc509996506 \h </w:instrText>
        </w:r>
        <w:r w:rsidR="00B553BC">
          <w:rPr>
            <w:webHidden/>
          </w:rPr>
        </w:r>
        <w:r w:rsidR="00B553BC">
          <w:rPr>
            <w:webHidden/>
          </w:rPr>
          <w:fldChar w:fldCharType="separate"/>
        </w:r>
        <w:r w:rsidR="00E96B43">
          <w:rPr>
            <w:webHidden/>
          </w:rPr>
          <w:t>62</w:t>
        </w:r>
        <w:r w:rsidR="00B553BC">
          <w:rPr>
            <w:webHidden/>
          </w:rPr>
          <w:fldChar w:fldCharType="end"/>
        </w:r>
      </w:hyperlink>
    </w:p>
    <w:p w14:paraId="31C8BAFE" w14:textId="77777777" w:rsidR="00B553BC" w:rsidRDefault="00085933">
      <w:pPr>
        <w:pStyle w:val="TOC1"/>
        <w:tabs>
          <w:tab w:val="left" w:pos="1320"/>
        </w:tabs>
        <w:rPr>
          <w:rFonts w:asciiTheme="minorHAnsi" w:eastAsiaTheme="minorEastAsia" w:hAnsiTheme="minorHAnsi" w:cstheme="minorBidi"/>
          <w:b w:val="0"/>
          <w:color w:val="auto"/>
        </w:rPr>
      </w:pPr>
      <w:hyperlink w:anchor="_Toc509996507" w:history="1">
        <w:r w:rsidR="00B553BC" w:rsidRPr="009B689F">
          <w:rPr>
            <w:rStyle w:val="Hyperlink"/>
          </w:rPr>
          <w:t>Appendix D</w:t>
        </w:r>
        <w:r w:rsidR="00B553BC">
          <w:rPr>
            <w:rFonts w:asciiTheme="minorHAnsi" w:eastAsiaTheme="minorEastAsia" w:hAnsiTheme="minorHAnsi" w:cstheme="minorBidi"/>
            <w:b w:val="0"/>
            <w:color w:val="auto"/>
          </w:rPr>
          <w:tab/>
        </w:r>
        <w:r w:rsidR="00B553BC" w:rsidRPr="009B689F">
          <w:rPr>
            <w:rStyle w:val="Hyperlink"/>
          </w:rPr>
          <w:t>Resources available for specifically identifying/assessing GDEs – state-level</w:t>
        </w:r>
        <w:r w:rsidR="00B553BC">
          <w:rPr>
            <w:webHidden/>
          </w:rPr>
          <w:tab/>
        </w:r>
        <w:r w:rsidR="00B553BC">
          <w:rPr>
            <w:webHidden/>
          </w:rPr>
          <w:fldChar w:fldCharType="begin"/>
        </w:r>
        <w:r w:rsidR="00B553BC">
          <w:rPr>
            <w:webHidden/>
          </w:rPr>
          <w:instrText xml:space="preserve"> PAGEREF _Toc509996507 \h </w:instrText>
        </w:r>
        <w:r w:rsidR="00B553BC">
          <w:rPr>
            <w:webHidden/>
          </w:rPr>
        </w:r>
        <w:r w:rsidR="00B553BC">
          <w:rPr>
            <w:webHidden/>
          </w:rPr>
          <w:fldChar w:fldCharType="separate"/>
        </w:r>
        <w:r w:rsidR="00E96B43">
          <w:rPr>
            <w:webHidden/>
          </w:rPr>
          <w:t>64</w:t>
        </w:r>
        <w:r w:rsidR="00B553BC">
          <w:rPr>
            <w:webHidden/>
          </w:rPr>
          <w:fldChar w:fldCharType="end"/>
        </w:r>
      </w:hyperlink>
    </w:p>
    <w:p w14:paraId="31C8BAFF" w14:textId="77777777" w:rsidR="00B553BC" w:rsidRDefault="00085933">
      <w:pPr>
        <w:pStyle w:val="TOC1"/>
        <w:tabs>
          <w:tab w:val="left" w:pos="1320"/>
        </w:tabs>
        <w:rPr>
          <w:rFonts w:asciiTheme="minorHAnsi" w:eastAsiaTheme="minorEastAsia" w:hAnsiTheme="minorHAnsi" w:cstheme="minorBidi"/>
          <w:b w:val="0"/>
          <w:color w:val="auto"/>
        </w:rPr>
      </w:pPr>
      <w:hyperlink w:anchor="_Toc509996508" w:history="1">
        <w:r w:rsidR="00B553BC" w:rsidRPr="009B689F">
          <w:rPr>
            <w:rStyle w:val="Hyperlink"/>
          </w:rPr>
          <w:t>Appendix E</w:t>
        </w:r>
        <w:r w:rsidR="00B553BC">
          <w:rPr>
            <w:rFonts w:asciiTheme="minorHAnsi" w:eastAsiaTheme="minorEastAsia" w:hAnsiTheme="minorHAnsi" w:cstheme="minorBidi"/>
            <w:b w:val="0"/>
            <w:color w:val="auto"/>
          </w:rPr>
          <w:tab/>
        </w:r>
        <w:r w:rsidR="00B553BC" w:rsidRPr="009B689F">
          <w:rPr>
            <w:rStyle w:val="Hyperlink"/>
          </w:rPr>
          <w:t>Vegetation species that are likely to be GDEs</w:t>
        </w:r>
        <w:r w:rsidR="00B553BC">
          <w:rPr>
            <w:webHidden/>
          </w:rPr>
          <w:tab/>
        </w:r>
        <w:r w:rsidR="00B553BC">
          <w:rPr>
            <w:webHidden/>
          </w:rPr>
          <w:fldChar w:fldCharType="begin"/>
        </w:r>
        <w:r w:rsidR="00B553BC">
          <w:rPr>
            <w:webHidden/>
          </w:rPr>
          <w:instrText xml:space="preserve"> PAGEREF _Toc509996508 \h </w:instrText>
        </w:r>
        <w:r w:rsidR="00B553BC">
          <w:rPr>
            <w:webHidden/>
          </w:rPr>
        </w:r>
        <w:r w:rsidR="00B553BC">
          <w:rPr>
            <w:webHidden/>
          </w:rPr>
          <w:fldChar w:fldCharType="separate"/>
        </w:r>
        <w:r w:rsidR="00E96B43">
          <w:rPr>
            <w:webHidden/>
          </w:rPr>
          <w:t>65</w:t>
        </w:r>
        <w:r w:rsidR="00B553BC">
          <w:rPr>
            <w:webHidden/>
          </w:rPr>
          <w:fldChar w:fldCharType="end"/>
        </w:r>
      </w:hyperlink>
    </w:p>
    <w:p w14:paraId="31C8BB00" w14:textId="77777777" w:rsidR="00B553BC" w:rsidRDefault="00085933">
      <w:pPr>
        <w:pStyle w:val="TOC1"/>
        <w:tabs>
          <w:tab w:val="left" w:pos="1320"/>
        </w:tabs>
        <w:rPr>
          <w:rFonts w:asciiTheme="minorHAnsi" w:eastAsiaTheme="minorEastAsia" w:hAnsiTheme="minorHAnsi" w:cstheme="minorBidi"/>
          <w:b w:val="0"/>
          <w:color w:val="auto"/>
        </w:rPr>
      </w:pPr>
      <w:hyperlink w:anchor="_Toc509996509" w:history="1">
        <w:r w:rsidR="00B553BC" w:rsidRPr="009B689F">
          <w:rPr>
            <w:rStyle w:val="Hyperlink"/>
          </w:rPr>
          <w:t>Appendix F</w:t>
        </w:r>
        <w:r w:rsidR="00B553BC">
          <w:rPr>
            <w:rFonts w:asciiTheme="minorHAnsi" w:eastAsiaTheme="minorEastAsia" w:hAnsiTheme="minorHAnsi" w:cstheme="minorBidi"/>
            <w:b w:val="0"/>
            <w:color w:val="auto"/>
          </w:rPr>
          <w:tab/>
        </w:r>
        <w:r w:rsidR="00B553BC" w:rsidRPr="009B689F">
          <w:rPr>
            <w:rStyle w:val="Hyperlink"/>
          </w:rPr>
          <w:t>Rules to guide GDE identification</w:t>
        </w:r>
        <w:r w:rsidR="00B553BC">
          <w:rPr>
            <w:webHidden/>
          </w:rPr>
          <w:tab/>
        </w:r>
        <w:r w:rsidR="00B553BC">
          <w:rPr>
            <w:webHidden/>
          </w:rPr>
          <w:fldChar w:fldCharType="begin"/>
        </w:r>
        <w:r w:rsidR="00B553BC">
          <w:rPr>
            <w:webHidden/>
          </w:rPr>
          <w:instrText xml:space="preserve"> PAGEREF _Toc509996509 \h </w:instrText>
        </w:r>
        <w:r w:rsidR="00B553BC">
          <w:rPr>
            <w:webHidden/>
          </w:rPr>
        </w:r>
        <w:r w:rsidR="00B553BC">
          <w:rPr>
            <w:webHidden/>
          </w:rPr>
          <w:fldChar w:fldCharType="separate"/>
        </w:r>
        <w:r w:rsidR="00E96B43">
          <w:rPr>
            <w:webHidden/>
          </w:rPr>
          <w:t>67</w:t>
        </w:r>
        <w:r w:rsidR="00B553BC">
          <w:rPr>
            <w:webHidden/>
          </w:rPr>
          <w:fldChar w:fldCharType="end"/>
        </w:r>
      </w:hyperlink>
    </w:p>
    <w:p w14:paraId="31C8BB01" w14:textId="77777777" w:rsidR="00B553BC" w:rsidRDefault="00085933">
      <w:pPr>
        <w:pStyle w:val="TOC1"/>
        <w:tabs>
          <w:tab w:val="left" w:pos="1320"/>
        </w:tabs>
        <w:rPr>
          <w:rFonts w:asciiTheme="minorHAnsi" w:eastAsiaTheme="minorEastAsia" w:hAnsiTheme="minorHAnsi" w:cstheme="minorBidi"/>
          <w:b w:val="0"/>
          <w:color w:val="auto"/>
        </w:rPr>
      </w:pPr>
      <w:hyperlink w:anchor="_Toc509996510" w:history="1">
        <w:r w:rsidR="00B553BC" w:rsidRPr="009B689F">
          <w:rPr>
            <w:rStyle w:val="Hyperlink"/>
          </w:rPr>
          <w:t>Appendix G</w:t>
        </w:r>
        <w:r w:rsidR="00B553BC">
          <w:rPr>
            <w:rFonts w:asciiTheme="minorHAnsi" w:eastAsiaTheme="minorEastAsia" w:hAnsiTheme="minorHAnsi" w:cstheme="minorBidi"/>
            <w:b w:val="0"/>
            <w:color w:val="auto"/>
          </w:rPr>
          <w:tab/>
        </w:r>
        <w:r w:rsidR="00B553BC" w:rsidRPr="009B689F">
          <w:rPr>
            <w:rStyle w:val="Hyperlink"/>
          </w:rPr>
          <w:t>Assessing Aquifer Ecosystems</w:t>
        </w:r>
        <w:r w:rsidR="00B553BC">
          <w:rPr>
            <w:webHidden/>
          </w:rPr>
          <w:tab/>
        </w:r>
        <w:r w:rsidR="00B553BC">
          <w:rPr>
            <w:webHidden/>
          </w:rPr>
          <w:fldChar w:fldCharType="begin"/>
        </w:r>
        <w:r w:rsidR="00B553BC">
          <w:rPr>
            <w:webHidden/>
          </w:rPr>
          <w:instrText xml:space="preserve"> PAGEREF _Toc509996510 \h </w:instrText>
        </w:r>
        <w:r w:rsidR="00B553BC">
          <w:rPr>
            <w:webHidden/>
          </w:rPr>
        </w:r>
        <w:r w:rsidR="00B553BC">
          <w:rPr>
            <w:webHidden/>
          </w:rPr>
          <w:fldChar w:fldCharType="separate"/>
        </w:r>
        <w:r w:rsidR="00E96B43">
          <w:rPr>
            <w:webHidden/>
          </w:rPr>
          <w:t>70</w:t>
        </w:r>
        <w:r w:rsidR="00B553BC">
          <w:rPr>
            <w:webHidden/>
          </w:rPr>
          <w:fldChar w:fldCharType="end"/>
        </w:r>
      </w:hyperlink>
    </w:p>
    <w:p w14:paraId="31C8BB02" w14:textId="77777777" w:rsidR="00B553BC" w:rsidRDefault="00085933">
      <w:pPr>
        <w:pStyle w:val="TOC1"/>
        <w:tabs>
          <w:tab w:val="left" w:pos="1320"/>
        </w:tabs>
        <w:rPr>
          <w:rFonts w:asciiTheme="minorHAnsi" w:eastAsiaTheme="minorEastAsia" w:hAnsiTheme="minorHAnsi" w:cstheme="minorBidi"/>
          <w:b w:val="0"/>
          <w:color w:val="auto"/>
        </w:rPr>
      </w:pPr>
      <w:hyperlink w:anchor="_Toc509996511" w:history="1">
        <w:r w:rsidR="00B553BC" w:rsidRPr="009B689F">
          <w:rPr>
            <w:rStyle w:val="Hyperlink"/>
          </w:rPr>
          <w:t>Appendix H</w:t>
        </w:r>
        <w:r w:rsidR="00B553BC">
          <w:rPr>
            <w:rFonts w:asciiTheme="minorHAnsi" w:eastAsiaTheme="minorEastAsia" w:hAnsiTheme="minorHAnsi" w:cstheme="minorBidi"/>
            <w:b w:val="0"/>
            <w:color w:val="auto"/>
          </w:rPr>
          <w:tab/>
        </w:r>
        <w:r w:rsidR="00B553BC" w:rsidRPr="009B689F">
          <w:rPr>
            <w:rStyle w:val="Hyperlink"/>
          </w:rPr>
          <w:t>Risk Assessment</w:t>
        </w:r>
        <w:r w:rsidR="00B553BC">
          <w:rPr>
            <w:webHidden/>
          </w:rPr>
          <w:tab/>
        </w:r>
        <w:r w:rsidR="00B553BC">
          <w:rPr>
            <w:webHidden/>
          </w:rPr>
          <w:fldChar w:fldCharType="begin"/>
        </w:r>
        <w:r w:rsidR="00B553BC">
          <w:rPr>
            <w:webHidden/>
          </w:rPr>
          <w:instrText xml:space="preserve"> PAGEREF _Toc509996511 \h </w:instrText>
        </w:r>
        <w:r w:rsidR="00B553BC">
          <w:rPr>
            <w:webHidden/>
          </w:rPr>
        </w:r>
        <w:r w:rsidR="00B553BC">
          <w:rPr>
            <w:webHidden/>
          </w:rPr>
          <w:fldChar w:fldCharType="separate"/>
        </w:r>
        <w:r w:rsidR="00E96B43">
          <w:rPr>
            <w:webHidden/>
          </w:rPr>
          <w:t>72</w:t>
        </w:r>
        <w:r w:rsidR="00B553BC">
          <w:rPr>
            <w:webHidden/>
          </w:rPr>
          <w:fldChar w:fldCharType="end"/>
        </w:r>
      </w:hyperlink>
    </w:p>
    <w:p w14:paraId="31C8BB03" w14:textId="77777777" w:rsidR="00A943B2" w:rsidRDefault="00B90057" w:rsidP="00975E7F">
      <w:pPr>
        <w:pStyle w:val="Heading1noTOC"/>
      </w:pPr>
      <w:r>
        <w:lastRenderedPageBreak/>
        <w:fldChar w:fldCharType="end"/>
      </w:r>
      <w:r w:rsidR="00975E7F">
        <w:t>F</w:t>
      </w:r>
      <w:r w:rsidR="00A943B2" w:rsidRPr="00D1044D">
        <w:t>igures</w:t>
      </w:r>
    </w:p>
    <w:p w14:paraId="31C8BB04" w14:textId="77777777" w:rsidR="00BB1DD0" w:rsidRDefault="00B90057">
      <w:pPr>
        <w:pStyle w:val="TableofFigures"/>
        <w:rPr>
          <w:rFonts w:asciiTheme="minorHAnsi" w:eastAsiaTheme="minorEastAsia" w:hAnsiTheme="minorHAnsi" w:cstheme="minorBidi"/>
          <w:noProof/>
          <w:color w:val="auto"/>
        </w:rPr>
      </w:pPr>
      <w:r>
        <w:fldChar w:fldCharType="begin"/>
      </w:r>
      <w:r>
        <w:instrText xml:space="preserve"> TOC \h \z \c "Figure" </w:instrText>
      </w:r>
      <w:r>
        <w:fldChar w:fldCharType="separate"/>
      </w:r>
      <w:hyperlink w:anchor="_Toc509991068" w:history="1">
        <w:r w:rsidR="00BB1DD0" w:rsidRPr="000B7986">
          <w:rPr>
            <w:rStyle w:val="Hyperlink"/>
            <w:rFonts w:cs="Arial"/>
            <w:noProof/>
          </w:rPr>
          <w:t>Figure 1. Conceptual model to define groundwater with respect to GDEs. SOURCE: Michigan State University (Image)</w:t>
        </w:r>
        <w:r w:rsidR="00BB1DD0">
          <w:rPr>
            <w:noProof/>
            <w:webHidden/>
          </w:rPr>
          <w:tab/>
        </w:r>
        <w:r w:rsidR="00BB1DD0">
          <w:rPr>
            <w:noProof/>
            <w:webHidden/>
          </w:rPr>
          <w:fldChar w:fldCharType="begin"/>
        </w:r>
        <w:r w:rsidR="00BB1DD0">
          <w:rPr>
            <w:noProof/>
            <w:webHidden/>
          </w:rPr>
          <w:instrText xml:space="preserve"> PAGEREF _Toc509991068 \h </w:instrText>
        </w:r>
        <w:r w:rsidR="00BB1DD0">
          <w:rPr>
            <w:noProof/>
            <w:webHidden/>
          </w:rPr>
        </w:r>
        <w:r w:rsidR="00BB1DD0">
          <w:rPr>
            <w:noProof/>
            <w:webHidden/>
          </w:rPr>
          <w:fldChar w:fldCharType="separate"/>
        </w:r>
        <w:r w:rsidR="00E96B43">
          <w:rPr>
            <w:noProof/>
            <w:webHidden/>
          </w:rPr>
          <w:t>11</w:t>
        </w:r>
        <w:r w:rsidR="00BB1DD0">
          <w:rPr>
            <w:noProof/>
            <w:webHidden/>
          </w:rPr>
          <w:fldChar w:fldCharType="end"/>
        </w:r>
      </w:hyperlink>
    </w:p>
    <w:p w14:paraId="31C8BB05" w14:textId="77777777" w:rsidR="00BB1DD0" w:rsidRDefault="00085933">
      <w:pPr>
        <w:pStyle w:val="TableofFigures"/>
        <w:rPr>
          <w:rFonts w:asciiTheme="minorHAnsi" w:eastAsiaTheme="minorEastAsia" w:hAnsiTheme="minorHAnsi" w:cstheme="minorBidi"/>
          <w:noProof/>
          <w:color w:val="auto"/>
        </w:rPr>
      </w:pPr>
      <w:hyperlink w:anchor="_Toc509991069" w:history="1">
        <w:r w:rsidR="00BB1DD0" w:rsidRPr="000B7986">
          <w:rPr>
            <w:rStyle w:val="Hyperlink"/>
            <w:rFonts w:cs="Arial"/>
            <w:noProof/>
          </w:rPr>
          <w:t>Figure 2. Illustration of GDE typology described above in section 2.1. SOURCE: Wetland Info (https://wetlandinfo.ehp.qld.gov.au)</w:t>
        </w:r>
        <w:r w:rsidR="00BB1DD0">
          <w:rPr>
            <w:noProof/>
            <w:webHidden/>
          </w:rPr>
          <w:tab/>
        </w:r>
        <w:r w:rsidR="00BB1DD0">
          <w:rPr>
            <w:noProof/>
            <w:webHidden/>
          </w:rPr>
          <w:fldChar w:fldCharType="begin"/>
        </w:r>
        <w:r w:rsidR="00BB1DD0">
          <w:rPr>
            <w:noProof/>
            <w:webHidden/>
          </w:rPr>
          <w:instrText xml:space="preserve"> PAGEREF _Toc509991069 \h </w:instrText>
        </w:r>
        <w:r w:rsidR="00BB1DD0">
          <w:rPr>
            <w:noProof/>
            <w:webHidden/>
          </w:rPr>
        </w:r>
        <w:r w:rsidR="00BB1DD0">
          <w:rPr>
            <w:noProof/>
            <w:webHidden/>
          </w:rPr>
          <w:fldChar w:fldCharType="separate"/>
        </w:r>
        <w:r w:rsidR="00E96B43">
          <w:rPr>
            <w:noProof/>
            <w:webHidden/>
          </w:rPr>
          <w:t>12</w:t>
        </w:r>
        <w:r w:rsidR="00BB1DD0">
          <w:rPr>
            <w:noProof/>
            <w:webHidden/>
          </w:rPr>
          <w:fldChar w:fldCharType="end"/>
        </w:r>
      </w:hyperlink>
    </w:p>
    <w:p w14:paraId="31C8BB06" w14:textId="77777777" w:rsidR="00BB1DD0" w:rsidRDefault="00085933">
      <w:pPr>
        <w:pStyle w:val="TableofFigures"/>
        <w:rPr>
          <w:rFonts w:asciiTheme="minorHAnsi" w:eastAsiaTheme="minorEastAsia" w:hAnsiTheme="minorHAnsi" w:cstheme="minorBidi"/>
          <w:noProof/>
          <w:color w:val="auto"/>
        </w:rPr>
      </w:pPr>
      <w:hyperlink w:anchor="_Toc509991070" w:history="1">
        <w:r w:rsidR="00BB1DD0" w:rsidRPr="000B7986">
          <w:rPr>
            <w:rStyle w:val="Hyperlink"/>
            <w:noProof/>
          </w:rPr>
          <w:t>Figure 3. Causal pathways of CSG or LCM development. SOURCE: Bioregional Assessments</w:t>
        </w:r>
        <w:r w:rsidR="00BB1DD0">
          <w:rPr>
            <w:noProof/>
            <w:webHidden/>
          </w:rPr>
          <w:tab/>
        </w:r>
        <w:r w:rsidR="00BB1DD0">
          <w:rPr>
            <w:noProof/>
            <w:webHidden/>
          </w:rPr>
          <w:fldChar w:fldCharType="begin"/>
        </w:r>
        <w:r w:rsidR="00BB1DD0">
          <w:rPr>
            <w:noProof/>
            <w:webHidden/>
          </w:rPr>
          <w:instrText xml:space="preserve"> PAGEREF _Toc509991070 \h </w:instrText>
        </w:r>
        <w:r w:rsidR="00BB1DD0">
          <w:rPr>
            <w:noProof/>
            <w:webHidden/>
          </w:rPr>
        </w:r>
        <w:r w:rsidR="00BB1DD0">
          <w:rPr>
            <w:noProof/>
            <w:webHidden/>
          </w:rPr>
          <w:fldChar w:fldCharType="separate"/>
        </w:r>
        <w:r w:rsidR="00E96B43">
          <w:rPr>
            <w:noProof/>
            <w:webHidden/>
          </w:rPr>
          <w:t>16</w:t>
        </w:r>
        <w:r w:rsidR="00BB1DD0">
          <w:rPr>
            <w:noProof/>
            <w:webHidden/>
          </w:rPr>
          <w:fldChar w:fldCharType="end"/>
        </w:r>
      </w:hyperlink>
    </w:p>
    <w:p w14:paraId="31C8BB07" w14:textId="77777777" w:rsidR="00BB1DD0" w:rsidRDefault="00085933">
      <w:pPr>
        <w:pStyle w:val="TableofFigures"/>
        <w:rPr>
          <w:rFonts w:asciiTheme="minorHAnsi" w:eastAsiaTheme="minorEastAsia" w:hAnsiTheme="minorHAnsi" w:cstheme="minorBidi"/>
          <w:noProof/>
          <w:color w:val="auto"/>
        </w:rPr>
      </w:pPr>
      <w:hyperlink w:anchor="_Toc509991071" w:history="1">
        <w:r w:rsidR="00BB1DD0" w:rsidRPr="000B7986">
          <w:rPr>
            <w:rStyle w:val="Hyperlink"/>
            <w:noProof/>
          </w:rPr>
          <w:t>Figure 4. Diagram demonstrating some impacts from Causal Pathway A - subsurface dewatering or lowering groundwater levels, and how GDEs are potentially impacted (SOURCE: Eamus et al., 2016)</w:t>
        </w:r>
        <w:r w:rsidR="00BB1DD0">
          <w:rPr>
            <w:noProof/>
            <w:webHidden/>
          </w:rPr>
          <w:tab/>
        </w:r>
        <w:r w:rsidR="00BB1DD0">
          <w:rPr>
            <w:noProof/>
            <w:webHidden/>
          </w:rPr>
          <w:fldChar w:fldCharType="begin"/>
        </w:r>
        <w:r w:rsidR="00BB1DD0">
          <w:rPr>
            <w:noProof/>
            <w:webHidden/>
          </w:rPr>
          <w:instrText xml:space="preserve"> PAGEREF _Toc509991071 \h </w:instrText>
        </w:r>
        <w:r w:rsidR="00BB1DD0">
          <w:rPr>
            <w:noProof/>
            <w:webHidden/>
          </w:rPr>
        </w:r>
        <w:r w:rsidR="00BB1DD0">
          <w:rPr>
            <w:noProof/>
            <w:webHidden/>
          </w:rPr>
          <w:fldChar w:fldCharType="separate"/>
        </w:r>
        <w:r w:rsidR="00E96B43">
          <w:rPr>
            <w:noProof/>
            <w:webHidden/>
          </w:rPr>
          <w:t>17</w:t>
        </w:r>
        <w:r w:rsidR="00BB1DD0">
          <w:rPr>
            <w:noProof/>
            <w:webHidden/>
          </w:rPr>
          <w:fldChar w:fldCharType="end"/>
        </w:r>
      </w:hyperlink>
    </w:p>
    <w:p w14:paraId="31C8BB08" w14:textId="77777777" w:rsidR="00BB1DD0" w:rsidRDefault="00085933">
      <w:pPr>
        <w:pStyle w:val="TableofFigures"/>
        <w:rPr>
          <w:rFonts w:asciiTheme="minorHAnsi" w:eastAsiaTheme="minorEastAsia" w:hAnsiTheme="minorHAnsi" w:cstheme="minorBidi"/>
          <w:noProof/>
          <w:color w:val="auto"/>
        </w:rPr>
      </w:pPr>
      <w:hyperlink w:anchor="_Toc509991072" w:history="1">
        <w:r w:rsidR="00BB1DD0" w:rsidRPr="000B7986">
          <w:rPr>
            <w:rStyle w:val="Hyperlink"/>
            <w:noProof/>
          </w:rPr>
          <w:t>Figure 5. A logical framework of steps to aid a proponent’s understanding of the process undertaken to inform an Environmental Impact Statement for assessing and describing potential impacts, risks and mitigation options of CSG and LCM activities on GDEs.</w:t>
        </w:r>
        <w:r w:rsidR="00BB1DD0">
          <w:rPr>
            <w:noProof/>
            <w:webHidden/>
          </w:rPr>
          <w:tab/>
        </w:r>
        <w:r w:rsidR="00BB1DD0">
          <w:rPr>
            <w:noProof/>
            <w:webHidden/>
          </w:rPr>
          <w:fldChar w:fldCharType="begin"/>
        </w:r>
        <w:r w:rsidR="00BB1DD0">
          <w:rPr>
            <w:noProof/>
            <w:webHidden/>
          </w:rPr>
          <w:instrText xml:space="preserve"> PAGEREF _Toc509991072 \h </w:instrText>
        </w:r>
        <w:r w:rsidR="00BB1DD0">
          <w:rPr>
            <w:noProof/>
            <w:webHidden/>
          </w:rPr>
        </w:r>
        <w:r w:rsidR="00BB1DD0">
          <w:rPr>
            <w:noProof/>
            <w:webHidden/>
          </w:rPr>
          <w:fldChar w:fldCharType="separate"/>
        </w:r>
        <w:r w:rsidR="00E96B43">
          <w:rPr>
            <w:noProof/>
            <w:webHidden/>
          </w:rPr>
          <w:t>22</w:t>
        </w:r>
        <w:r w:rsidR="00BB1DD0">
          <w:rPr>
            <w:noProof/>
            <w:webHidden/>
          </w:rPr>
          <w:fldChar w:fldCharType="end"/>
        </w:r>
      </w:hyperlink>
    </w:p>
    <w:p w14:paraId="31C8BB09" w14:textId="77777777" w:rsidR="00BB1DD0" w:rsidRDefault="00085933">
      <w:pPr>
        <w:pStyle w:val="TableofFigures"/>
        <w:rPr>
          <w:rFonts w:asciiTheme="minorHAnsi" w:eastAsiaTheme="minorEastAsia" w:hAnsiTheme="minorHAnsi" w:cstheme="minorBidi"/>
          <w:noProof/>
          <w:color w:val="auto"/>
        </w:rPr>
      </w:pPr>
      <w:hyperlink w:anchor="_Toc509991073" w:history="1">
        <w:r w:rsidR="00BB1DD0" w:rsidRPr="000B7986">
          <w:rPr>
            <w:rStyle w:val="Hyperlink"/>
            <w:noProof/>
          </w:rPr>
          <w:t>Figure 6. Mapping example demonstrating the combination of overlaying maps of depth to groundwater (top left) and vegetation (top right) to reveal potential GDEs from the intersection between the two (bottom), in three classes where groundwater is 0-5 m, 5-10 m and 10-20 m near Hill River in the Northern Perth Basin, Western Australia. Vegetation is not considered a GDE when groundwater depth is greater than 20 m in this example. SOURCE: Rutherford et al., 2005.</w:t>
        </w:r>
        <w:r w:rsidR="00BB1DD0">
          <w:rPr>
            <w:noProof/>
            <w:webHidden/>
          </w:rPr>
          <w:tab/>
        </w:r>
        <w:r w:rsidR="00BB1DD0">
          <w:rPr>
            <w:noProof/>
            <w:webHidden/>
          </w:rPr>
          <w:fldChar w:fldCharType="begin"/>
        </w:r>
        <w:r w:rsidR="00BB1DD0">
          <w:rPr>
            <w:noProof/>
            <w:webHidden/>
          </w:rPr>
          <w:instrText xml:space="preserve"> PAGEREF _Toc509991073 \h </w:instrText>
        </w:r>
        <w:r w:rsidR="00BB1DD0">
          <w:rPr>
            <w:noProof/>
            <w:webHidden/>
          </w:rPr>
        </w:r>
        <w:r w:rsidR="00BB1DD0">
          <w:rPr>
            <w:noProof/>
            <w:webHidden/>
          </w:rPr>
          <w:fldChar w:fldCharType="separate"/>
        </w:r>
        <w:r w:rsidR="00E96B43">
          <w:rPr>
            <w:noProof/>
            <w:webHidden/>
          </w:rPr>
          <w:t>36</w:t>
        </w:r>
        <w:r w:rsidR="00BB1DD0">
          <w:rPr>
            <w:noProof/>
            <w:webHidden/>
          </w:rPr>
          <w:fldChar w:fldCharType="end"/>
        </w:r>
      </w:hyperlink>
    </w:p>
    <w:p w14:paraId="31C8BB0A" w14:textId="77777777" w:rsidR="00B90057" w:rsidRPr="00B90057" w:rsidRDefault="00B90057" w:rsidP="00CB4519">
      <w:pPr>
        <w:pStyle w:val="TableofFigures"/>
      </w:pPr>
      <w:r>
        <w:fldChar w:fldCharType="end"/>
      </w:r>
    </w:p>
    <w:p w14:paraId="31C8BB0B" w14:textId="77777777" w:rsidR="00A943B2" w:rsidRDefault="004D139E" w:rsidP="00784770">
      <w:pPr>
        <w:pStyle w:val="Heading1noTOC"/>
        <w:pageBreakBefore w:val="0"/>
      </w:pPr>
      <w:r>
        <w:t>T</w:t>
      </w:r>
      <w:r w:rsidR="00A943B2">
        <w:t>ables</w:t>
      </w:r>
    </w:p>
    <w:p w14:paraId="31C8BB0C" w14:textId="77777777" w:rsidR="00BB1DD0" w:rsidRDefault="00846190">
      <w:pPr>
        <w:pStyle w:val="TableofFigures"/>
        <w:rPr>
          <w:rFonts w:asciiTheme="minorHAnsi" w:eastAsiaTheme="minorEastAsia" w:hAnsiTheme="minorHAnsi" w:cstheme="minorBidi"/>
          <w:noProof/>
          <w:color w:val="auto"/>
        </w:rPr>
      </w:pPr>
      <w:r>
        <w:fldChar w:fldCharType="begin"/>
      </w:r>
      <w:r w:rsidR="00A943B2">
        <w:instrText xml:space="preserve"> TOC \h \z \c "Table" </w:instrText>
      </w:r>
      <w:r>
        <w:fldChar w:fldCharType="separate"/>
      </w:r>
      <w:hyperlink w:anchor="_Toc509991064" w:history="1">
        <w:r w:rsidR="00BB1DD0" w:rsidRPr="00AD77A0">
          <w:rPr>
            <w:rStyle w:val="Hyperlink"/>
            <w:noProof/>
          </w:rPr>
          <w:t>Table 1. Questions to guide the assessment of groundwater use in ecosystems (Eamus et al., 2006). Questions are cross-referenced to GDE rule sets shown in App Table 7</w:t>
        </w:r>
        <w:r w:rsidR="00BB1DD0">
          <w:rPr>
            <w:noProof/>
            <w:webHidden/>
          </w:rPr>
          <w:tab/>
        </w:r>
        <w:r w:rsidR="00BB1DD0">
          <w:rPr>
            <w:noProof/>
            <w:webHidden/>
          </w:rPr>
          <w:fldChar w:fldCharType="begin"/>
        </w:r>
        <w:r w:rsidR="00BB1DD0">
          <w:rPr>
            <w:noProof/>
            <w:webHidden/>
          </w:rPr>
          <w:instrText xml:space="preserve"> PAGEREF _Toc509991064 \h </w:instrText>
        </w:r>
        <w:r w:rsidR="00BB1DD0">
          <w:rPr>
            <w:noProof/>
            <w:webHidden/>
          </w:rPr>
        </w:r>
        <w:r w:rsidR="00BB1DD0">
          <w:rPr>
            <w:noProof/>
            <w:webHidden/>
          </w:rPr>
          <w:fldChar w:fldCharType="separate"/>
        </w:r>
        <w:r w:rsidR="00E96B43">
          <w:rPr>
            <w:noProof/>
            <w:webHidden/>
          </w:rPr>
          <w:t>24</w:t>
        </w:r>
        <w:r w:rsidR="00BB1DD0">
          <w:rPr>
            <w:noProof/>
            <w:webHidden/>
          </w:rPr>
          <w:fldChar w:fldCharType="end"/>
        </w:r>
      </w:hyperlink>
    </w:p>
    <w:p w14:paraId="31C8BB0D" w14:textId="77777777" w:rsidR="00BB1DD0" w:rsidRDefault="00085933">
      <w:pPr>
        <w:pStyle w:val="TableofFigures"/>
        <w:rPr>
          <w:rFonts w:asciiTheme="minorHAnsi" w:eastAsiaTheme="minorEastAsia" w:hAnsiTheme="minorHAnsi" w:cstheme="minorBidi"/>
          <w:noProof/>
          <w:color w:val="auto"/>
        </w:rPr>
      </w:pPr>
      <w:hyperlink w:anchor="_Toc509991065" w:history="1">
        <w:r w:rsidR="00BB1DD0" w:rsidRPr="00AD77A0">
          <w:rPr>
            <w:rStyle w:val="Hyperlink"/>
            <w:noProof/>
          </w:rPr>
          <w:t>Table 2. Summary of tools for assessing GDEs which incorporate field data (see App Table 2 for full details). T=Tool shown in the GDE Toolbox; NT=New Tool</w:t>
        </w:r>
        <w:r w:rsidR="00BB1DD0">
          <w:rPr>
            <w:noProof/>
            <w:webHidden/>
          </w:rPr>
          <w:tab/>
        </w:r>
        <w:r w:rsidR="00BB1DD0">
          <w:rPr>
            <w:noProof/>
            <w:webHidden/>
          </w:rPr>
          <w:fldChar w:fldCharType="begin"/>
        </w:r>
        <w:r w:rsidR="00BB1DD0">
          <w:rPr>
            <w:noProof/>
            <w:webHidden/>
          </w:rPr>
          <w:instrText xml:space="preserve"> PAGEREF _Toc509991065 \h </w:instrText>
        </w:r>
        <w:r w:rsidR="00BB1DD0">
          <w:rPr>
            <w:noProof/>
            <w:webHidden/>
          </w:rPr>
        </w:r>
        <w:r w:rsidR="00BB1DD0">
          <w:rPr>
            <w:noProof/>
            <w:webHidden/>
          </w:rPr>
          <w:fldChar w:fldCharType="separate"/>
        </w:r>
        <w:r w:rsidR="00E96B43">
          <w:rPr>
            <w:noProof/>
            <w:webHidden/>
          </w:rPr>
          <w:t>27</w:t>
        </w:r>
        <w:r w:rsidR="00BB1DD0">
          <w:rPr>
            <w:noProof/>
            <w:webHidden/>
          </w:rPr>
          <w:fldChar w:fldCharType="end"/>
        </w:r>
      </w:hyperlink>
    </w:p>
    <w:p w14:paraId="31C8BB0E" w14:textId="77777777" w:rsidR="00BB1DD0" w:rsidRDefault="00085933">
      <w:pPr>
        <w:pStyle w:val="TableofFigures"/>
        <w:rPr>
          <w:rFonts w:asciiTheme="minorHAnsi" w:eastAsiaTheme="minorEastAsia" w:hAnsiTheme="minorHAnsi" w:cstheme="minorBidi"/>
          <w:noProof/>
          <w:color w:val="auto"/>
        </w:rPr>
      </w:pPr>
      <w:hyperlink w:anchor="_Toc509991066" w:history="1">
        <w:r w:rsidR="00BB1DD0" w:rsidRPr="00AD77A0">
          <w:rPr>
            <w:rStyle w:val="Hyperlink"/>
            <w:noProof/>
          </w:rPr>
          <w:t>Table 3. Groundwater depth (m) and number of times in a 10-year period that greenness remained above a determined threshold to indicate groundwater use for woody vegetation. 1=high, 2=medium, 3=low, 4= no potential. See DPI (2016) for full methods.</w:t>
        </w:r>
        <w:r w:rsidR="00BB1DD0">
          <w:rPr>
            <w:noProof/>
            <w:webHidden/>
          </w:rPr>
          <w:tab/>
        </w:r>
        <w:r w:rsidR="00BB1DD0">
          <w:rPr>
            <w:noProof/>
            <w:webHidden/>
          </w:rPr>
          <w:fldChar w:fldCharType="begin"/>
        </w:r>
        <w:r w:rsidR="00BB1DD0">
          <w:rPr>
            <w:noProof/>
            <w:webHidden/>
          </w:rPr>
          <w:instrText xml:space="preserve"> PAGEREF _Toc509991066 \h </w:instrText>
        </w:r>
        <w:r w:rsidR="00BB1DD0">
          <w:rPr>
            <w:noProof/>
            <w:webHidden/>
          </w:rPr>
        </w:r>
        <w:r w:rsidR="00BB1DD0">
          <w:rPr>
            <w:noProof/>
            <w:webHidden/>
          </w:rPr>
          <w:fldChar w:fldCharType="separate"/>
        </w:r>
        <w:r w:rsidR="00E96B43">
          <w:rPr>
            <w:noProof/>
            <w:webHidden/>
          </w:rPr>
          <w:t>30</w:t>
        </w:r>
        <w:r w:rsidR="00BB1DD0">
          <w:rPr>
            <w:noProof/>
            <w:webHidden/>
          </w:rPr>
          <w:fldChar w:fldCharType="end"/>
        </w:r>
      </w:hyperlink>
    </w:p>
    <w:p w14:paraId="31C8BB0F" w14:textId="77777777" w:rsidR="00BB1DD0" w:rsidRDefault="00846190">
      <w:pPr>
        <w:pStyle w:val="TableofFigures"/>
        <w:rPr>
          <w:noProof/>
        </w:rPr>
      </w:pPr>
      <w:r>
        <w:fldChar w:fldCharType="end"/>
      </w:r>
      <w:r w:rsidR="00CB4519">
        <w:fldChar w:fldCharType="begin"/>
      </w:r>
      <w:r w:rsidR="00CB4519">
        <w:instrText xml:space="preserve"> TOC \h \z \c "Apx Table" </w:instrText>
      </w:r>
      <w:r w:rsidR="00CB4519">
        <w:fldChar w:fldCharType="separate"/>
      </w:r>
    </w:p>
    <w:p w14:paraId="31C8BB10" w14:textId="77777777" w:rsidR="00BB1DD0" w:rsidRDefault="00085933">
      <w:pPr>
        <w:pStyle w:val="TableofFigures"/>
        <w:rPr>
          <w:rFonts w:asciiTheme="minorHAnsi" w:eastAsiaTheme="minorEastAsia" w:hAnsiTheme="minorHAnsi" w:cstheme="minorBidi"/>
          <w:noProof/>
          <w:color w:val="auto"/>
        </w:rPr>
      </w:pPr>
      <w:hyperlink w:anchor="_Toc509991053" w:history="1">
        <w:r w:rsidR="00BB1DD0" w:rsidRPr="000E2A79">
          <w:rPr>
            <w:rStyle w:val="Hyperlink"/>
            <w:noProof/>
          </w:rPr>
          <w:t>App Table 1. Activities in CSG and LCM development that potentially impact on GDEs. These activities present risks to GDEs that include altering the number of native species and species composition within GDE communities; disrupting ecological processes that deliver ecosystem services; damage aquifer geologic structure; increasing risk of exotic species invasion; removing GDE habitat; altering groundwater quality; and changing timing, duration, pressure and flow conditions of groundwater</w:t>
        </w:r>
        <w:r w:rsidR="00BB1DD0">
          <w:rPr>
            <w:noProof/>
            <w:webHidden/>
          </w:rPr>
          <w:tab/>
        </w:r>
        <w:r w:rsidR="00BB1DD0">
          <w:rPr>
            <w:noProof/>
            <w:webHidden/>
          </w:rPr>
          <w:fldChar w:fldCharType="begin"/>
        </w:r>
        <w:r w:rsidR="00BB1DD0">
          <w:rPr>
            <w:noProof/>
            <w:webHidden/>
          </w:rPr>
          <w:instrText xml:space="preserve"> PAGEREF _Toc509991053 \h </w:instrText>
        </w:r>
        <w:r w:rsidR="00BB1DD0">
          <w:rPr>
            <w:noProof/>
            <w:webHidden/>
          </w:rPr>
        </w:r>
        <w:r w:rsidR="00BB1DD0">
          <w:rPr>
            <w:noProof/>
            <w:webHidden/>
          </w:rPr>
          <w:fldChar w:fldCharType="separate"/>
        </w:r>
        <w:r w:rsidR="00E96B43">
          <w:rPr>
            <w:noProof/>
            <w:webHidden/>
          </w:rPr>
          <w:t>58</w:t>
        </w:r>
        <w:r w:rsidR="00BB1DD0">
          <w:rPr>
            <w:noProof/>
            <w:webHidden/>
          </w:rPr>
          <w:fldChar w:fldCharType="end"/>
        </w:r>
      </w:hyperlink>
    </w:p>
    <w:p w14:paraId="31C8BB11" w14:textId="77777777" w:rsidR="00BB1DD0" w:rsidRDefault="00085933">
      <w:pPr>
        <w:pStyle w:val="TableofFigures"/>
        <w:rPr>
          <w:rFonts w:asciiTheme="minorHAnsi" w:eastAsiaTheme="minorEastAsia" w:hAnsiTheme="minorHAnsi" w:cstheme="minorBidi"/>
          <w:noProof/>
          <w:color w:val="auto"/>
        </w:rPr>
      </w:pPr>
      <w:hyperlink w:anchor="_Toc509991054" w:history="1">
        <w:r w:rsidR="00BB1DD0" w:rsidRPr="000E2A79">
          <w:rPr>
            <w:rStyle w:val="Hyperlink"/>
            <w:noProof/>
          </w:rPr>
          <w:t>App Table 2. Summary of tools for assessing GDEs. Adapted from the GDE Toolbox (Evans et al., 2013). Tools T1-T14 are shown in the Toolbox. New tools (NT1-NT5) have been included as tools not documented in the Toolbox, but relevant to identification of GDEs</w:t>
        </w:r>
        <w:r w:rsidR="00BB1DD0">
          <w:rPr>
            <w:noProof/>
            <w:webHidden/>
          </w:rPr>
          <w:tab/>
        </w:r>
        <w:r w:rsidR="00BB1DD0">
          <w:rPr>
            <w:noProof/>
            <w:webHidden/>
          </w:rPr>
          <w:fldChar w:fldCharType="begin"/>
        </w:r>
        <w:r w:rsidR="00BB1DD0">
          <w:rPr>
            <w:noProof/>
            <w:webHidden/>
          </w:rPr>
          <w:instrText xml:space="preserve"> PAGEREF _Toc509991054 \h </w:instrText>
        </w:r>
        <w:r w:rsidR="00BB1DD0">
          <w:rPr>
            <w:noProof/>
            <w:webHidden/>
          </w:rPr>
        </w:r>
        <w:r w:rsidR="00BB1DD0">
          <w:rPr>
            <w:noProof/>
            <w:webHidden/>
          </w:rPr>
          <w:fldChar w:fldCharType="separate"/>
        </w:r>
        <w:r w:rsidR="00E96B43">
          <w:rPr>
            <w:noProof/>
            <w:webHidden/>
          </w:rPr>
          <w:t>60</w:t>
        </w:r>
        <w:r w:rsidR="00BB1DD0">
          <w:rPr>
            <w:noProof/>
            <w:webHidden/>
          </w:rPr>
          <w:fldChar w:fldCharType="end"/>
        </w:r>
      </w:hyperlink>
    </w:p>
    <w:p w14:paraId="31C8BB12" w14:textId="77777777" w:rsidR="00BB1DD0" w:rsidRDefault="00085933">
      <w:pPr>
        <w:pStyle w:val="TableofFigures"/>
        <w:rPr>
          <w:rFonts w:asciiTheme="minorHAnsi" w:eastAsiaTheme="minorEastAsia" w:hAnsiTheme="minorHAnsi" w:cstheme="minorBidi"/>
          <w:noProof/>
          <w:color w:val="auto"/>
        </w:rPr>
      </w:pPr>
      <w:hyperlink w:anchor="_Toc509991055" w:history="1">
        <w:r w:rsidR="00BB1DD0" w:rsidRPr="000E2A79">
          <w:rPr>
            <w:rStyle w:val="Hyperlink"/>
            <w:noProof/>
          </w:rPr>
          <w:t>App Table 3. Landscape and ecosystem data sets that are useful to help identify GDEs. National-scale dataset sources are shown</w:t>
        </w:r>
        <w:r w:rsidR="00BB1DD0">
          <w:rPr>
            <w:noProof/>
            <w:webHidden/>
          </w:rPr>
          <w:tab/>
        </w:r>
        <w:r w:rsidR="00BB1DD0">
          <w:rPr>
            <w:noProof/>
            <w:webHidden/>
          </w:rPr>
          <w:fldChar w:fldCharType="begin"/>
        </w:r>
        <w:r w:rsidR="00BB1DD0">
          <w:rPr>
            <w:noProof/>
            <w:webHidden/>
          </w:rPr>
          <w:instrText xml:space="preserve"> PAGEREF _Toc509991055 \h </w:instrText>
        </w:r>
        <w:r w:rsidR="00BB1DD0">
          <w:rPr>
            <w:noProof/>
            <w:webHidden/>
          </w:rPr>
        </w:r>
        <w:r w:rsidR="00BB1DD0">
          <w:rPr>
            <w:noProof/>
            <w:webHidden/>
          </w:rPr>
          <w:fldChar w:fldCharType="separate"/>
        </w:r>
        <w:r w:rsidR="00E96B43">
          <w:rPr>
            <w:noProof/>
            <w:webHidden/>
          </w:rPr>
          <w:t>62</w:t>
        </w:r>
        <w:r w:rsidR="00BB1DD0">
          <w:rPr>
            <w:noProof/>
            <w:webHidden/>
          </w:rPr>
          <w:fldChar w:fldCharType="end"/>
        </w:r>
      </w:hyperlink>
    </w:p>
    <w:p w14:paraId="31C8BB13" w14:textId="77777777" w:rsidR="00BB1DD0" w:rsidRDefault="00085933">
      <w:pPr>
        <w:pStyle w:val="TableofFigures"/>
        <w:rPr>
          <w:rFonts w:asciiTheme="minorHAnsi" w:eastAsiaTheme="minorEastAsia" w:hAnsiTheme="minorHAnsi" w:cstheme="minorBidi"/>
          <w:noProof/>
          <w:color w:val="auto"/>
        </w:rPr>
      </w:pPr>
      <w:hyperlink w:anchor="_Toc509991056" w:history="1">
        <w:r w:rsidR="00BB1DD0" w:rsidRPr="000E2A79">
          <w:rPr>
            <w:rStyle w:val="Hyperlink"/>
            <w:noProof/>
          </w:rPr>
          <w:t>App Table 4. Summary of resources available to specifically identify/assess GDEs for each state/territory (includes GIS layers, reports and websites).</w:t>
        </w:r>
        <w:r w:rsidR="00BB1DD0">
          <w:rPr>
            <w:noProof/>
            <w:webHidden/>
          </w:rPr>
          <w:tab/>
        </w:r>
        <w:r w:rsidR="00BB1DD0">
          <w:rPr>
            <w:noProof/>
            <w:webHidden/>
          </w:rPr>
          <w:fldChar w:fldCharType="begin"/>
        </w:r>
        <w:r w:rsidR="00BB1DD0">
          <w:rPr>
            <w:noProof/>
            <w:webHidden/>
          </w:rPr>
          <w:instrText xml:space="preserve"> PAGEREF _Toc509991056 \h </w:instrText>
        </w:r>
        <w:r w:rsidR="00BB1DD0">
          <w:rPr>
            <w:noProof/>
            <w:webHidden/>
          </w:rPr>
        </w:r>
        <w:r w:rsidR="00BB1DD0">
          <w:rPr>
            <w:noProof/>
            <w:webHidden/>
          </w:rPr>
          <w:fldChar w:fldCharType="separate"/>
        </w:r>
        <w:r w:rsidR="00E96B43">
          <w:rPr>
            <w:noProof/>
            <w:webHidden/>
          </w:rPr>
          <w:t>64</w:t>
        </w:r>
        <w:r w:rsidR="00BB1DD0">
          <w:rPr>
            <w:noProof/>
            <w:webHidden/>
          </w:rPr>
          <w:fldChar w:fldCharType="end"/>
        </w:r>
      </w:hyperlink>
    </w:p>
    <w:p w14:paraId="31C8BB14" w14:textId="77777777" w:rsidR="00BB1DD0" w:rsidRDefault="00085933">
      <w:pPr>
        <w:pStyle w:val="TableofFigures"/>
        <w:rPr>
          <w:rFonts w:asciiTheme="minorHAnsi" w:eastAsiaTheme="minorEastAsia" w:hAnsiTheme="minorHAnsi" w:cstheme="minorBidi"/>
          <w:noProof/>
          <w:color w:val="auto"/>
        </w:rPr>
      </w:pPr>
      <w:hyperlink w:anchor="_Toc509991057" w:history="1">
        <w:r w:rsidR="00BB1DD0" w:rsidRPr="000E2A79">
          <w:rPr>
            <w:rStyle w:val="Hyperlink"/>
            <w:noProof/>
          </w:rPr>
          <w:t>App Table 5. Vegetation species that in Australia have been shown to access groundwater. The depth to watertable (WT) range has been summarised across studies and locations. Information sourced from A – Orellana et al., 2011; B – Sommer and Froend, 2010; C- DPI (2006); D- Wetland Info (WetlandInfo); E – Froend and Drake (2006)</w:t>
        </w:r>
        <w:r w:rsidR="00BB1DD0">
          <w:rPr>
            <w:noProof/>
            <w:webHidden/>
          </w:rPr>
          <w:tab/>
        </w:r>
        <w:r w:rsidR="00BB1DD0">
          <w:rPr>
            <w:noProof/>
            <w:webHidden/>
          </w:rPr>
          <w:fldChar w:fldCharType="begin"/>
        </w:r>
        <w:r w:rsidR="00BB1DD0">
          <w:rPr>
            <w:noProof/>
            <w:webHidden/>
          </w:rPr>
          <w:instrText xml:space="preserve"> PAGEREF _Toc509991057 \h </w:instrText>
        </w:r>
        <w:r w:rsidR="00BB1DD0">
          <w:rPr>
            <w:noProof/>
            <w:webHidden/>
          </w:rPr>
        </w:r>
        <w:r w:rsidR="00BB1DD0">
          <w:rPr>
            <w:noProof/>
            <w:webHidden/>
          </w:rPr>
          <w:fldChar w:fldCharType="separate"/>
        </w:r>
        <w:r w:rsidR="00E96B43">
          <w:rPr>
            <w:noProof/>
            <w:webHidden/>
          </w:rPr>
          <w:t>65</w:t>
        </w:r>
        <w:r w:rsidR="00BB1DD0">
          <w:rPr>
            <w:noProof/>
            <w:webHidden/>
          </w:rPr>
          <w:fldChar w:fldCharType="end"/>
        </w:r>
      </w:hyperlink>
    </w:p>
    <w:p w14:paraId="31C8BB15" w14:textId="77777777" w:rsidR="00BB1DD0" w:rsidRDefault="00085933">
      <w:pPr>
        <w:pStyle w:val="TableofFigures"/>
        <w:rPr>
          <w:rFonts w:asciiTheme="minorHAnsi" w:eastAsiaTheme="minorEastAsia" w:hAnsiTheme="minorHAnsi" w:cstheme="minorBidi"/>
          <w:noProof/>
          <w:color w:val="auto"/>
        </w:rPr>
      </w:pPr>
      <w:hyperlink w:anchor="_Toc509991058" w:history="1">
        <w:r w:rsidR="00BB1DD0" w:rsidRPr="000E2A79">
          <w:rPr>
            <w:rStyle w:val="Hyperlink"/>
            <w:noProof/>
          </w:rPr>
          <w:t>App Table 6. Maximum root depth of Australian vegetation species. SOURCE: Canadell et al., 1996</w:t>
        </w:r>
        <w:r w:rsidR="00BB1DD0">
          <w:rPr>
            <w:noProof/>
            <w:webHidden/>
          </w:rPr>
          <w:tab/>
        </w:r>
        <w:r w:rsidR="00BB1DD0">
          <w:rPr>
            <w:noProof/>
            <w:webHidden/>
          </w:rPr>
          <w:fldChar w:fldCharType="begin"/>
        </w:r>
        <w:r w:rsidR="00BB1DD0">
          <w:rPr>
            <w:noProof/>
            <w:webHidden/>
          </w:rPr>
          <w:instrText xml:space="preserve"> PAGEREF _Toc509991058 \h </w:instrText>
        </w:r>
        <w:r w:rsidR="00BB1DD0">
          <w:rPr>
            <w:noProof/>
            <w:webHidden/>
          </w:rPr>
        </w:r>
        <w:r w:rsidR="00BB1DD0">
          <w:rPr>
            <w:noProof/>
            <w:webHidden/>
          </w:rPr>
          <w:fldChar w:fldCharType="separate"/>
        </w:r>
        <w:r w:rsidR="00E96B43">
          <w:rPr>
            <w:noProof/>
            <w:webHidden/>
          </w:rPr>
          <w:t>66</w:t>
        </w:r>
        <w:r w:rsidR="00BB1DD0">
          <w:rPr>
            <w:noProof/>
            <w:webHidden/>
          </w:rPr>
          <w:fldChar w:fldCharType="end"/>
        </w:r>
      </w:hyperlink>
    </w:p>
    <w:p w14:paraId="31C8BB16" w14:textId="77777777" w:rsidR="00BB1DD0" w:rsidRDefault="00085933">
      <w:pPr>
        <w:pStyle w:val="TableofFigures"/>
        <w:rPr>
          <w:rFonts w:asciiTheme="minorHAnsi" w:eastAsiaTheme="minorEastAsia" w:hAnsiTheme="minorHAnsi" w:cstheme="minorBidi"/>
          <w:noProof/>
          <w:color w:val="auto"/>
        </w:rPr>
      </w:pPr>
      <w:hyperlink w:anchor="_Toc509991059" w:history="1">
        <w:r w:rsidR="00BB1DD0" w:rsidRPr="000E2A79">
          <w:rPr>
            <w:rStyle w:val="Hyperlink"/>
            <w:noProof/>
          </w:rPr>
          <w:t>App Table 7. Rules to guide the identification of GDEs using remotely sensed or existing data, developed from known studies. These rules were used to develop the GDE Atlas (SKM, 2012; Doody et al., 2017) and supplemented for aquifer ecosystems for this Explanatory Note. Rules are cross-referenced with questions posed by Eamus et al. (2006) in Table 1</w:t>
        </w:r>
        <w:r w:rsidR="00BB1DD0">
          <w:rPr>
            <w:noProof/>
            <w:webHidden/>
          </w:rPr>
          <w:tab/>
        </w:r>
        <w:r w:rsidR="00BB1DD0">
          <w:rPr>
            <w:noProof/>
            <w:webHidden/>
          </w:rPr>
          <w:fldChar w:fldCharType="begin"/>
        </w:r>
        <w:r w:rsidR="00BB1DD0">
          <w:rPr>
            <w:noProof/>
            <w:webHidden/>
          </w:rPr>
          <w:instrText xml:space="preserve"> PAGEREF _Toc509991059 \h </w:instrText>
        </w:r>
        <w:r w:rsidR="00BB1DD0">
          <w:rPr>
            <w:noProof/>
            <w:webHidden/>
          </w:rPr>
        </w:r>
        <w:r w:rsidR="00BB1DD0">
          <w:rPr>
            <w:noProof/>
            <w:webHidden/>
          </w:rPr>
          <w:fldChar w:fldCharType="separate"/>
        </w:r>
        <w:r w:rsidR="00E96B43">
          <w:rPr>
            <w:noProof/>
            <w:webHidden/>
          </w:rPr>
          <w:t>67</w:t>
        </w:r>
        <w:r w:rsidR="00BB1DD0">
          <w:rPr>
            <w:noProof/>
            <w:webHidden/>
          </w:rPr>
          <w:fldChar w:fldCharType="end"/>
        </w:r>
      </w:hyperlink>
    </w:p>
    <w:p w14:paraId="31C8BB17" w14:textId="77777777" w:rsidR="00BB1DD0" w:rsidRDefault="00085933">
      <w:pPr>
        <w:pStyle w:val="TableofFigures"/>
        <w:rPr>
          <w:rFonts w:asciiTheme="minorHAnsi" w:eastAsiaTheme="minorEastAsia" w:hAnsiTheme="minorHAnsi" w:cstheme="minorBidi"/>
          <w:noProof/>
          <w:color w:val="auto"/>
        </w:rPr>
      </w:pPr>
      <w:hyperlink w:anchor="_Toc509991060" w:history="1">
        <w:r w:rsidR="00BB1DD0" w:rsidRPr="000E2A79">
          <w:rPr>
            <w:rStyle w:val="Hyperlink"/>
            <w:noProof/>
          </w:rPr>
          <w:t>App Table 8. Characteristics of bores most likely to yield stygofauna, provided they are present in the aquifer</w:t>
        </w:r>
        <w:r w:rsidR="00BB1DD0">
          <w:rPr>
            <w:noProof/>
            <w:webHidden/>
          </w:rPr>
          <w:tab/>
        </w:r>
        <w:r w:rsidR="00BB1DD0">
          <w:rPr>
            <w:noProof/>
            <w:webHidden/>
          </w:rPr>
          <w:fldChar w:fldCharType="begin"/>
        </w:r>
        <w:r w:rsidR="00BB1DD0">
          <w:rPr>
            <w:noProof/>
            <w:webHidden/>
          </w:rPr>
          <w:instrText xml:space="preserve"> PAGEREF _Toc509991060 \h </w:instrText>
        </w:r>
        <w:r w:rsidR="00BB1DD0">
          <w:rPr>
            <w:noProof/>
            <w:webHidden/>
          </w:rPr>
        </w:r>
        <w:r w:rsidR="00BB1DD0">
          <w:rPr>
            <w:noProof/>
            <w:webHidden/>
          </w:rPr>
          <w:fldChar w:fldCharType="separate"/>
        </w:r>
        <w:r w:rsidR="00E96B43">
          <w:rPr>
            <w:noProof/>
            <w:webHidden/>
          </w:rPr>
          <w:t>70</w:t>
        </w:r>
        <w:r w:rsidR="00BB1DD0">
          <w:rPr>
            <w:noProof/>
            <w:webHidden/>
          </w:rPr>
          <w:fldChar w:fldCharType="end"/>
        </w:r>
      </w:hyperlink>
    </w:p>
    <w:p w14:paraId="31C8BB18" w14:textId="77777777" w:rsidR="00BB1DD0" w:rsidRDefault="00085933">
      <w:pPr>
        <w:pStyle w:val="TableofFigures"/>
        <w:rPr>
          <w:rFonts w:asciiTheme="minorHAnsi" w:eastAsiaTheme="minorEastAsia" w:hAnsiTheme="minorHAnsi" w:cstheme="minorBidi"/>
          <w:noProof/>
          <w:color w:val="auto"/>
        </w:rPr>
      </w:pPr>
      <w:hyperlink w:anchor="_Toc509991061" w:history="1">
        <w:r w:rsidR="00BB1DD0" w:rsidRPr="000E2A79">
          <w:rPr>
            <w:rStyle w:val="Hyperlink"/>
            <w:noProof/>
          </w:rPr>
          <w:t>App Table 9. Water chemistry and aquifer conditions favourable to stygofauna</w:t>
        </w:r>
        <w:r w:rsidR="00BB1DD0">
          <w:rPr>
            <w:noProof/>
            <w:webHidden/>
          </w:rPr>
          <w:tab/>
        </w:r>
        <w:r w:rsidR="00BB1DD0">
          <w:rPr>
            <w:noProof/>
            <w:webHidden/>
          </w:rPr>
          <w:fldChar w:fldCharType="begin"/>
        </w:r>
        <w:r w:rsidR="00BB1DD0">
          <w:rPr>
            <w:noProof/>
            <w:webHidden/>
          </w:rPr>
          <w:instrText xml:space="preserve"> PAGEREF _Toc509991061 \h </w:instrText>
        </w:r>
        <w:r w:rsidR="00BB1DD0">
          <w:rPr>
            <w:noProof/>
            <w:webHidden/>
          </w:rPr>
        </w:r>
        <w:r w:rsidR="00BB1DD0">
          <w:rPr>
            <w:noProof/>
            <w:webHidden/>
          </w:rPr>
          <w:fldChar w:fldCharType="separate"/>
        </w:r>
        <w:r w:rsidR="00E96B43">
          <w:rPr>
            <w:noProof/>
            <w:webHidden/>
          </w:rPr>
          <w:t>71</w:t>
        </w:r>
        <w:r w:rsidR="00BB1DD0">
          <w:rPr>
            <w:noProof/>
            <w:webHidden/>
          </w:rPr>
          <w:fldChar w:fldCharType="end"/>
        </w:r>
      </w:hyperlink>
    </w:p>
    <w:p w14:paraId="31C8BB19" w14:textId="77777777" w:rsidR="00BB1DD0" w:rsidRDefault="00085933">
      <w:pPr>
        <w:pStyle w:val="TableofFigures"/>
        <w:rPr>
          <w:rFonts w:asciiTheme="minorHAnsi" w:eastAsiaTheme="minorEastAsia" w:hAnsiTheme="minorHAnsi" w:cstheme="minorBidi"/>
          <w:noProof/>
          <w:color w:val="auto"/>
        </w:rPr>
      </w:pPr>
      <w:hyperlink w:anchor="_Toc509991062" w:history="1">
        <w:r w:rsidR="00BB1DD0" w:rsidRPr="000E2A79">
          <w:rPr>
            <w:rStyle w:val="Hyperlink"/>
            <w:noProof/>
          </w:rPr>
          <w:t>App Table 10. GDE Risk Matrix (Serov et al., 2012)</w:t>
        </w:r>
        <w:r w:rsidR="00BB1DD0">
          <w:rPr>
            <w:noProof/>
            <w:webHidden/>
          </w:rPr>
          <w:tab/>
        </w:r>
        <w:r w:rsidR="00BB1DD0">
          <w:rPr>
            <w:noProof/>
            <w:webHidden/>
          </w:rPr>
          <w:fldChar w:fldCharType="begin"/>
        </w:r>
        <w:r w:rsidR="00BB1DD0">
          <w:rPr>
            <w:noProof/>
            <w:webHidden/>
          </w:rPr>
          <w:instrText xml:space="preserve"> PAGEREF _Toc509991062 \h </w:instrText>
        </w:r>
        <w:r w:rsidR="00BB1DD0">
          <w:rPr>
            <w:noProof/>
            <w:webHidden/>
          </w:rPr>
        </w:r>
        <w:r w:rsidR="00BB1DD0">
          <w:rPr>
            <w:noProof/>
            <w:webHidden/>
          </w:rPr>
          <w:fldChar w:fldCharType="separate"/>
        </w:r>
        <w:r w:rsidR="00E96B43">
          <w:rPr>
            <w:noProof/>
            <w:webHidden/>
          </w:rPr>
          <w:t>72</w:t>
        </w:r>
        <w:r w:rsidR="00BB1DD0">
          <w:rPr>
            <w:noProof/>
            <w:webHidden/>
          </w:rPr>
          <w:fldChar w:fldCharType="end"/>
        </w:r>
      </w:hyperlink>
    </w:p>
    <w:p w14:paraId="31C8BB1A" w14:textId="77777777" w:rsidR="00BB1DD0" w:rsidRDefault="00085933">
      <w:pPr>
        <w:pStyle w:val="TableofFigures"/>
        <w:rPr>
          <w:rFonts w:asciiTheme="minorHAnsi" w:eastAsiaTheme="minorEastAsia" w:hAnsiTheme="minorHAnsi" w:cstheme="minorBidi"/>
          <w:noProof/>
          <w:color w:val="auto"/>
        </w:rPr>
      </w:pPr>
      <w:hyperlink w:anchor="_Toc509991063" w:history="1">
        <w:r w:rsidR="00BB1DD0" w:rsidRPr="000E2A79">
          <w:rPr>
            <w:rStyle w:val="Hyperlink"/>
            <w:noProof/>
          </w:rPr>
          <w:t>App Table 11. Risk Matrix management actions (Serov et al., 2012)</w:t>
        </w:r>
        <w:r w:rsidR="00BB1DD0">
          <w:rPr>
            <w:noProof/>
            <w:webHidden/>
          </w:rPr>
          <w:tab/>
        </w:r>
        <w:r w:rsidR="00BB1DD0">
          <w:rPr>
            <w:noProof/>
            <w:webHidden/>
          </w:rPr>
          <w:fldChar w:fldCharType="begin"/>
        </w:r>
        <w:r w:rsidR="00BB1DD0">
          <w:rPr>
            <w:noProof/>
            <w:webHidden/>
          </w:rPr>
          <w:instrText xml:space="preserve"> PAGEREF _Toc509991063 \h </w:instrText>
        </w:r>
        <w:r w:rsidR="00BB1DD0">
          <w:rPr>
            <w:noProof/>
            <w:webHidden/>
          </w:rPr>
        </w:r>
        <w:r w:rsidR="00BB1DD0">
          <w:rPr>
            <w:noProof/>
            <w:webHidden/>
          </w:rPr>
          <w:fldChar w:fldCharType="separate"/>
        </w:r>
        <w:r w:rsidR="00E96B43">
          <w:rPr>
            <w:noProof/>
            <w:webHidden/>
          </w:rPr>
          <w:t>72</w:t>
        </w:r>
        <w:r w:rsidR="00BB1DD0">
          <w:rPr>
            <w:noProof/>
            <w:webHidden/>
          </w:rPr>
          <w:fldChar w:fldCharType="end"/>
        </w:r>
      </w:hyperlink>
    </w:p>
    <w:p w14:paraId="31C8BB1B" w14:textId="77777777" w:rsidR="00CB4519" w:rsidRPr="00CB4519" w:rsidRDefault="00CB4519" w:rsidP="00CB4519">
      <w:pPr>
        <w:pStyle w:val="BodyText"/>
      </w:pPr>
      <w:r>
        <w:fldChar w:fldCharType="end"/>
      </w:r>
    </w:p>
    <w:p w14:paraId="31C8BB1C" w14:textId="77777777" w:rsidR="00945DD9" w:rsidRDefault="00945DD9" w:rsidP="00DC2413">
      <w:pPr>
        <w:pStyle w:val="BodyText"/>
      </w:pPr>
    </w:p>
    <w:p w14:paraId="31C8BB1D" w14:textId="77777777" w:rsidR="00351AA3" w:rsidRDefault="00351AA3">
      <w:pPr>
        <w:spacing w:after="0"/>
      </w:pPr>
      <w:r>
        <w:br w:type="page"/>
      </w:r>
    </w:p>
    <w:p w14:paraId="31C8BB1E" w14:textId="77777777" w:rsidR="00945DD9" w:rsidRDefault="00351AA3" w:rsidP="003B3605">
      <w:pPr>
        <w:pStyle w:val="Heading1"/>
        <w:numPr>
          <w:ilvl w:val="0"/>
          <w:numId w:val="0"/>
        </w:numPr>
        <w:ind w:left="432" w:hanging="432"/>
      </w:pPr>
      <w:bookmarkStart w:id="1" w:name="_Toc509996451"/>
      <w:r>
        <w:lastRenderedPageBreak/>
        <w:t>Executive Summary</w:t>
      </w:r>
      <w:bookmarkEnd w:id="1"/>
    </w:p>
    <w:p w14:paraId="31C8BB1F" w14:textId="77777777" w:rsidR="001D6DC5" w:rsidRDefault="00B95B2D" w:rsidP="00E3557E">
      <w:pPr>
        <w:pStyle w:val="BodyText"/>
      </w:pPr>
      <w:r>
        <w:t>Groundwater</w:t>
      </w:r>
      <w:r w:rsidR="003F6ECC">
        <w:t>-</w:t>
      </w:r>
      <w:r>
        <w:t>dependent ecosystems</w:t>
      </w:r>
      <w:r w:rsidR="004F219A">
        <w:t xml:space="preserve"> (GDEs)</w:t>
      </w:r>
      <w:r>
        <w:t xml:space="preserve"> are ecosystems that rely upon groundwater for their continued existence. They may be 100% dependent on groundwater</w:t>
      </w:r>
      <w:r w:rsidR="004F219A">
        <w:t>,</w:t>
      </w:r>
      <w:r>
        <w:t xml:space="preserve"> </w:t>
      </w:r>
      <w:r w:rsidR="003F6ECC">
        <w:t xml:space="preserve">such </w:t>
      </w:r>
      <w:r>
        <w:t xml:space="preserve">as </w:t>
      </w:r>
      <w:r w:rsidR="003F6ECC">
        <w:t xml:space="preserve">aquifer </w:t>
      </w:r>
      <w:r w:rsidR="004F219A">
        <w:t>GDEs,</w:t>
      </w:r>
      <w:r>
        <w:t xml:space="preserve"> or may access groundwater intermittently to supplement their water requirements</w:t>
      </w:r>
      <w:r w:rsidR="003F6ECC">
        <w:t>,</w:t>
      </w:r>
      <w:r>
        <w:t xml:space="preserve"> such as riparian tree species in arid and semi-arid areas.</w:t>
      </w:r>
      <w:r w:rsidR="00FC6715">
        <w:t xml:space="preserve"> These ecosystems are sensitive to changes in the ground</w:t>
      </w:r>
      <w:r w:rsidR="00EE242A">
        <w:t>water regimes that support</w:t>
      </w:r>
      <w:r w:rsidR="00FC6715">
        <w:t xml:space="preserve"> them</w:t>
      </w:r>
      <w:r w:rsidR="00EE242A">
        <w:t>,</w:t>
      </w:r>
      <w:r w:rsidR="00FC6715">
        <w:t xml:space="preserve"> as a</w:t>
      </w:r>
      <w:r w:rsidR="003F6ECC">
        <w:t>n</w:t>
      </w:r>
      <w:r w:rsidR="00FC6715">
        <w:t xml:space="preserve"> increase in depth to groundwater may </w:t>
      </w:r>
      <w:r w:rsidR="003F6ECC">
        <w:t>draw</w:t>
      </w:r>
      <w:r w:rsidR="00FC6715">
        <w:t xml:space="preserve"> water </w:t>
      </w:r>
      <w:r w:rsidR="003F6ECC">
        <w:t xml:space="preserve">down </w:t>
      </w:r>
      <w:r w:rsidR="00EE242A">
        <w:t>beyond</w:t>
      </w:r>
      <w:r w:rsidR="00FC6715">
        <w:t xml:space="preserve"> the reach of vegetation roots or remove water from caves, creating water stress for </w:t>
      </w:r>
      <w:r w:rsidR="00EE242A">
        <w:t>the GDEs</w:t>
      </w:r>
      <w:r w:rsidR="00FC6715">
        <w:t>.</w:t>
      </w:r>
    </w:p>
    <w:p w14:paraId="31C8BB20" w14:textId="77777777" w:rsidR="00A23B87" w:rsidRDefault="00A23B87" w:rsidP="00E3557E">
      <w:pPr>
        <w:pStyle w:val="BodyText"/>
      </w:pPr>
      <w:r>
        <w:t>GDEs are classed as</w:t>
      </w:r>
      <w:r w:rsidR="003F6ECC">
        <w:t>:</w:t>
      </w:r>
    </w:p>
    <w:p w14:paraId="31C8BB21" w14:textId="77777777" w:rsidR="00A23B87" w:rsidRPr="00960D6A" w:rsidRDefault="00A23B87" w:rsidP="00F1192F">
      <w:pPr>
        <w:pStyle w:val="BodyText"/>
        <w:numPr>
          <w:ilvl w:val="0"/>
          <w:numId w:val="32"/>
        </w:numPr>
      </w:pPr>
      <w:r w:rsidRPr="00960D6A">
        <w:t>Aquifer and cave ecosystems (</w:t>
      </w:r>
      <w:r w:rsidRPr="008E0234">
        <w:rPr>
          <w:b/>
        </w:rPr>
        <w:t>Subterranean GDE</w:t>
      </w:r>
      <w:r w:rsidR="003F6ECC">
        <w:rPr>
          <w:b/>
        </w:rPr>
        <w:t>s</w:t>
      </w:r>
      <w:r w:rsidRPr="00960D6A">
        <w:t>) </w:t>
      </w:r>
    </w:p>
    <w:p w14:paraId="31C8BB22" w14:textId="77777777" w:rsidR="00A23B87" w:rsidRDefault="00A23B87" w:rsidP="00526CA7">
      <w:pPr>
        <w:pStyle w:val="BodyText"/>
        <w:numPr>
          <w:ilvl w:val="1"/>
          <w:numId w:val="49"/>
        </w:numPr>
      </w:pPr>
      <w:r w:rsidRPr="00960D6A">
        <w:t xml:space="preserve">caves or aquifers </w:t>
      </w:r>
    </w:p>
    <w:p w14:paraId="31C8BB23" w14:textId="77777777" w:rsidR="00A23B87" w:rsidRPr="00870CF6" w:rsidRDefault="00A23B87" w:rsidP="00F1192F">
      <w:pPr>
        <w:pStyle w:val="BodyText"/>
        <w:numPr>
          <w:ilvl w:val="0"/>
          <w:numId w:val="32"/>
        </w:numPr>
      </w:pPr>
      <w:r w:rsidRPr="00870CF6">
        <w:t>Ecosystems dependent on the surface expression of groundwater (</w:t>
      </w:r>
      <w:r w:rsidRPr="008E0234">
        <w:rPr>
          <w:b/>
        </w:rPr>
        <w:t>Aquatic GDE</w:t>
      </w:r>
      <w:r w:rsidR="003F6ECC">
        <w:rPr>
          <w:b/>
        </w:rPr>
        <w:t>s</w:t>
      </w:r>
      <w:r w:rsidRPr="00870CF6">
        <w:t>)</w:t>
      </w:r>
    </w:p>
    <w:p w14:paraId="31C8BB24" w14:textId="77777777" w:rsidR="00A23B87" w:rsidRPr="00870CF6" w:rsidRDefault="00A23B87" w:rsidP="008C5F19">
      <w:pPr>
        <w:pStyle w:val="BodyText"/>
        <w:numPr>
          <w:ilvl w:val="1"/>
          <w:numId w:val="45"/>
        </w:numPr>
      </w:pPr>
      <w:r w:rsidRPr="00870CF6">
        <w:t>River-</w:t>
      </w:r>
      <w:r w:rsidR="00AD31D2" w:rsidRPr="00870CF6">
        <w:t>base flow</w:t>
      </w:r>
      <w:r w:rsidRPr="00870CF6">
        <w:t xml:space="preserve"> systems – aquatic and riparian ecosystems that exist in or adjacent to streams</w:t>
      </w:r>
      <w:r>
        <w:t xml:space="preserve"> (including the </w:t>
      </w:r>
      <w:proofErr w:type="spellStart"/>
      <w:r>
        <w:t>hyporheic</w:t>
      </w:r>
      <w:proofErr w:type="spellEnd"/>
      <w:r>
        <w:t xml:space="preserve"> zone)</w:t>
      </w:r>
      <w:r w:rsidRPr="00870CF6">
        <w:t xml:space="preserve"> fed by groundwater</w:t>
      </w:r>
    </w:p>
    <w:p w14:paraId="31C8BB25" w14:textId="77777777" w:rsidR="00A23B87" w:rsidRDefault="00A23B87" w:rsidP="008C5F19">
      <w:pPr>
        <w:pStyle w:val="BodyText"/>
        <w:numPr>
          <w:ilvl w:val="1"/>
          <w:numId w:val="45"/>
        </w:numPr>
      </w:pPr>
      <w:r w:rsidRPr="00870CF6">
        <w:t>Wetlands – aquatic communities and fringing vegetation dependent on groundwater</w:t>
      </w:r>
      <w:r w:rsidR="003F6ECC">
        <w:t>-</w:t>
      </w:r>
      <w:r w:rsidRPr="00870CF6">
        <w:t>fed lakes and wetlands.</w:t>
      </w:r>
      <w:r>
        <w:t xml:space="preserve"> Th</w:t>
      </w:r>
      <w:r w:rsidR="003F6ECC">
        <w:t>ese</w:t>
      </w:r>
      <w:r>
        <w:t xml:space="preserve"> include palustrine, lacustrine and riverine wetlands that receive groundwater discharge and can include some spring ecosystems</w:t>
      </w:r>
      <w:r w:rsidRPr="00E56779">
        <w:t xml:space="preserve"> </w:t>
      </w:r>
    </w:p>
    <w:p w14:paraId="31C8BB26" w14:textId="77777777" w:rsidR="00A23B87" w:rsidRPr="00E56779" w:rsidRDefault="00A23B87" w:rsidP="008C5F19">
      <w:pPr>
        <w:pStyle w:val="BodyText"/>
        <w:numPr>
          <w:ilvl w:val="1"/>
          <w:numId w:val="45"/>
        </w:numPr>
      </w:pPr>
      <w:r>
        <w:t xml:space="preserve">Ecosystems which rely on submarine discharge of groundwater for its nutrients </w:t>
      </w:r>
      <w:r w:rsidR="003F6ECC">
        <w:t>and/</w:t>
      </w:r>
      <w:r>
        <w:t xml:space="preserve">or </w:t>
      </w:r>
      <w:proofErr w:type="spellStart"/>
      <w:r>
        <w:t>physi</w:t>
      </w:r>
      <w:r w:rsidR="003F6ECC">
        <w:t>c</w:t>
      </w:r>
      <w:r>
        <w:t>o</w:t>
      </w:r>
      <w:proofErr w:type="spellEnd"/>
      <w:r>
        <w:t>-chemical attributes</w:t>
      </w:r>
    </w:p>
    <w:p w14:paraId="31C8BB27" w14:textId="77777777" w:rsidR="00A23B87" w:rsidRPr="00870CF6" w:rsidRDefault="00A23B87" w:rsidP="008C5F19">
      <w:pPr>
        <w:pStyle w:val="BodyText"/>
        <w:numPr>
          <w:ilvl w:val="0"/>
          <w:numId w:val="46"/>
        </w:numPr>
      </w:pPr>
      <w:r w:rsidRPr="00870CF6">
        <w:t>Ecosystems dependent on the subsurface expression of groundwater (</w:t>
      </w:r>
      <w:r w:rsidRPr="008E0234">
        <w:rPr>
          <w:b/>
        </w:rPr>
        <w:t>Terrestrial GDE</w:t>
      </w:r>
      <w:r w:rsidR="003F6ECC">
        <w:rPr>
          <w:b/>
        </w:rPr>
        <w:t>s</w:t>
      </w:r>
      <w:r w:rsidRPr="00870CF6">
        <w:t>)</w:t>
      </w:r>
    </w:p>
    <w:p w14:paraId="31C8BB28" w14:textId="77777777" w:rsidR="00FC6715" w:rsidRDefault="00FC6715" w:rsidP="00E3557E">
      <w:pPr>
        <w:pStyle w:val="BodyText"/>
      </w:pPr>
      <w:r>
        <w:t>Coal seam gas</w:t>
      </w:r>
      <w:r w:rsidR="00C12EDD">
        <w:t xml:space="preserve"> (CSG)</w:t>
      </w:r>
      <w:r>
        <w:t xml:space="preserve"> and large coal mining </w:t>
      </w:r>
      <w:r w:rsidR="00C12EDD">
        <w:t xml:space="preserve">(LCM) </w:t>
      </w:r>
      <w:r>
        <w:t>developments</w:t>
      </w:r>
      <w:r w:rsidR="00C12EDD">
        <w:t xml:space="preserve"> are</w:t>
      </w:r>
      <w:r>
        <w:t xml:space="preserve"> important to the economy and production of fuel in Australia</w:t>
      </w:r>
      <w:r w:rsidR="00C12EDD">
        <w:t xml:space="preserve"> yet</w:t>
      </w:r>
      <w:r>
        <w:t xml:space="preserve"> pose </w:t>
      </w:r>
      <w:r w:rsidR="00C12EDD">
        <w:t xml:space="preserve">potential </w:t>
      </w:r>
      <w:r>
        <w:t xml:space="preserve">risks to </w:t>
      </w:r>
      <w:r w:rsidR="00C12EDD">
        <w:t xml:space="preserve">nearby </w:t>
      </w:r>
      <w:r>
        <w:t xml:space="preserve">GDEs. </w:t>
      </w:r>
      <w:r w:rsidR="00C12EDD">
        <w:t>These risks include alterations of groundwater regimes and</w:t>
      </w:r>
      <w:r w:rsidR="00A23B87">
        <w:t xml:space="preserve"> water quality</w:t>
      </w:r>
      <w:r w:rsidR="00C12EDD">
        <w:t xml:space="preserve"> that may impact on GDEs</w:t>
      </w:r>
      <w:r>
        <w:t xml:space="preserve"> in the vicinity </w:t>
      </w:r>
      <w:r w:rsidR="00C12EDD">
        <w:t>of proposed and operational CSG and LCM developments</w:t>
      </w:r>
      <w:r w:rsidR="00A23B87">
        <w:t>.</w:t>
      </w:r>
    </w:p>
    <w:p w14:paraId="31C8BB29" w14:textId="77777777" w:rsidR="00B95B2D" w:rsidRDefault="00FC6715" w:rsidP="00E3557E">
      <w:pPr>
        <w:pStyle w:val="BodyText"/>
      </w:pPr>
      <w:r>
        <w:t xml:space="preserve">The </w:t>
      </w:r>
      <w:r w:rsidR="00217AA4">
        <w:t>purpose of th</w:t>
      </w:r>
      <w:r w:rsidR="00C12EDD">
        <w:t>is</w:t>
      </w:r>
      <w:r w:rsidR="00217AA4">
        <w:t xml:space="preserve"> </w:t>
      </w:r>
      <w:r>
        <w:t>Explan</w:t>
      </w:r>
      <w:r w:rsidR="00A23B87">
        <w:t xml:space="preserve">atory Note </w:t>
      </w:r>
      <w:r w:rsidR="00217AA4">
        <w:t xml:space="preserve">is to </w:t>
      </w:r>
      <w:r w:rsidR="00A23B87">
        <w:t>describe the information required and tools available to assess the potential risk</w:t>
      </w:r>
      <w:r w:rsidR="00C12EDD">
        <w:t>s</w:t>
      </w:r>
      <w:r w:rsidR="00526CA7">
        <w:t xml:space="preserve"> to GDEs from</w:t>
      </w:r>
      <w:r w:rsidR="00A23B87">
        <w:t xml:space="preserve"> CSG and LCM development, </w:t>
      </w:r>
      <w:r w:rsidR="00C12EDD">
        <w:t>and to help</w:t>
      </w:r>
      <w:r w:rsidR="00A23B87">
        <w:t xml:space="preserve"> a proponent who is required to p</w:t>
      </w:r>
      <w:r w:rsidR="00526CA7">
        <w:t>repare an environmental impact assessment with a</w:t>
      </w:r>
      <w:r w:rsidR="00217AA4">
        <w:t xml:space="preserve"> section specifically </w:t>
      </w:r>
      <w:r w:rsidR="00C12EDD">
        <w:t xml:space="preserve">devoted </w:t>
      </w:r>
      <w:r w:rsidR="00217AA4">
        <w:t>to GDEs</w:t>
      </w:r>
      <w:r w:rsidR="00A23B87">
        <w:t xml:space="preserve">. A </w:t>
      </w:r>
      <w:r w:rsidR="00E712F7">
        <w:t xml:space="preserve">logical </w:t>
      </w:r>
      <w:r w:rsidR="00A23B87">
        <w:t xml:space="preserve">framework is provided to guide the proponent through the steps, </w:t>
      </w:r>
      <w:r w:rsidR="00EE242A">
        <w:t>which</w:t>
      </w:r>
      <w:r w:rsidR="00A23B87">
        <w:t xml:space="preserve"> include</w:t>
      </w:r>
      <w:r w:rsidR="00E712F7">
        <w:t>:</w:t>
      </w:r>
    </w:p>
    <w:p w14:paraId="31C8BB2A" w14:textId="77777777" w:rsidR="00A23B87" w:rsidRDefault="00A23B87" w:rsidP="00F1192F">
      <w:pPr>
        <w:pStyle w:val="BodyText"/>
        <w:numPr>
          <w:ilvl w:val="0"/>
          <w:numId w:val="33"/>
        </w:numPr>
      </w:pPr>
      <w:r w:rsidRPr="001C7564">
        <w:t>defin</w:t>
      </w:r>
      <w:r w:rsidR="00217AA4">
        <w:t>ing</w:t>
      </w:r>
      <w:r w:rsidRPr="001C7564">
        <w:t xml:space="preserve"> the project area</w:t>
      </w:r>
      <w:r>
        <w:t xml:space="preserve"> (includ</w:t>
      </w:r>
      <w:r w:rsidR="00E712F7">
        <w:t>ing</w:t>
      </w:r>
      <w:r>
        <w:t xml:space="preserve"> the footprint of surface infrastructure and the </w:t>
      </w:r>
      <w:r w:rsidR="00E712F7">
        <w:t xml:space="preserve">potential </w:t>
      </w:r>
      <w:r>
        <w:t>extent of groundwater d</w:t>
      </w:r>
      <w:r w:rsidR="00217AA4">
        <w:t xml:space="preserve">epressurisation) – </w:t>
      </w:r>
      <w:r w:rsidR="00217AA4" w:rsidRPr="00EE242A">
        <w:rPr>
          <w:b/>
        </w:rPr>
        <w:t>Chapter 5</w:t>
      </w:r>
    </w:p>
    <w:p w14:paraId="31C8BB2B" w14:textId="77777777" w:rsidR="00A23B87" w:rsidRDefault="00A23B87" w:rsidP="00F1192F">
      <w:pPr>
        <w:pStyle w:val="BodyText"/>
        <w:numPr>
          <w:ilvl w:val="0"/>
          <w:numId w:val="33"/>
        </w:numPr>
      </w:pPr>
      <w:r w:rsidRPr="00C50897">
        <w:t>undertak</w:t>
      </w:r>
      <w:r w:rsidR="00217AA4">
        <w:t>ing</w:t>
      </w:r>
      <w:r w:rsidRPr="00C50897">
        <w:t xml:space="preserve"> a desktop study to identify potential GDEs in the project area</w:t>
      </w:r>
      <w:r w:rsidR="00217AA4">
        <w:t xml:space="preserve"> – </w:t>
      </w:r>
      <w:r w:rsidR="00217AA4" w:rsidRPr="00EE242A">
        <w:rPr>
          <w:b/>
        </w:rPr>
        <w:t>Chapter 5</w:t>
      </w:r>
    </w:p>
    <w:p w14:paraId="31C8BB2C" w14:textId="77777777" w:rsidR="00A23B87" w:rsidRDefault="00A23B87" w:rsidP="00F1192F">
      <w:pPr>
        <w:pStyle w:val="BodyText"/>
        <w:numPr>
          <w:ilvl w:val="0"/>
          <w:numId w:val="33"/>
        </w:numPr>
      </w:pPr>
      <w:r>
        <w:t>assess</w:t>
      </w:r>
      <w:r w:rsidR="00217AA4">
        <w:t>ing</w:t>
      </w:r>
      <w:r w:rsidRPr="001C7564">
        <w:t xml:space="preserve"> the level of groundwater dependence </w:t>
      </w:r>
      <w:r>
        <w:t xml:space="preserve">for </w:t>
      </w:r>
      <w:r w:rsidR="00E712F7">
        <w:t xml:space="preserve">each </w:t>
      </w:r>
      <w:r>
        <w:t>GDE</w:t>
      </w:r>
      <w:r w:rsidRPr="00850A76">
        <w:t xml:space="preserve"> </w:t>
      </w:r>
      <w:r>
        <w:t>and pathways of cause and effect</w:t>
      </w:r>
      <w:r w:rsidR="00217AA4">
        <w:t xml:space="preserve"> – </w:t>
      </w:r>
      <w:r w:rsidR="00217AA4" w:rsidRPr="00F65955">
        <w:rPr>
          <w:b/>
        </w:rPr>
        <w:t>Chapter 5</w:t>
      </w:r>
    </w:p>
    <w:p w14:paraId="31C8BB2D" w14:textId="77777777" w:rsidR="00A23B87" w:rsidRDefault="00A23B87" w:rsidP="00F1192F">
      <w:pPr>
        <w:pStyle w:val="BodyText"/>
        <w:numPr>
          <w:ilvl w:val="0"/>
          <w:numId w:val="33"/>
        </w:numPr>
      </w:pPr>
      <w:r w:rsidRPr="001C7564">
        <w:t>identify</w:t>
      </w:r>
      <w:r w:rsidR="00217AA4">
        <w:t>ing</w:t>
      </w:r>
      <w:r w:rsidRPr="001C7564">
        <w:t xml:space="preserve"> </w:t>
      </w:r>
      <w:r>
        <w:t xml:space="preserve">baseline ecological condition for </w:t>
      </w:r>
      <w:r w:rsidR="00E712F7">
        <w:t xml:space="preserve">each </w:t>
      </w:r>
      <w:r>
        <w:t>GDE</w:t>
      </w:r>
      <w:r w:rsidR="00217AA4">
        <w:t xml:space="preserve"> – </w:t>
      </w:r>
      <w:r w:rsidR="00217AA4" w:rsidRPr="00EE242A">
        <w:rPr>
          <w:b/>
        </w:rPr>
        <w:t>Chapter 6</w:t>
      </w:r>
    </w:p>
    <w:p w14:paraId="31C8BB2E" w14:textId="77777777" w:rsidR="00A23B87" w:rsidRDefault="00A23B87" w:rsidP="00F1192F">
      <w:pPr>
        <w:pStyle w:val="BodyText"/>
        <w:numPr>
          <w:ilvl w:val="0"/>
          <w:numId w:val="33"/>
        </w:numPr>
      </w:pPr>
      <w:r>
        <w:t>assess</w:t>
      </w:r>
      <w:r w:rsidR="00217AA4">
        <w:t>ing</w:t>
      </w:r>
      <w:r>
        <w:t xml:space="preserve"> the likelihood, frequency</w:t>
      </w:r>
      <w:r w:rsidR="00E712F7">
        <w:t xml:space="preserve"> and</w:t>
      </w:r>
      <w:r>
        <w:t xml:space="preserve"> magnitude of </w:t>
      </w:r>
      <w:r w:rsidRPr="001C7564">
        <w:t xml:space="preserve">potential impacts to </w:t>
      </w:r>
      <w:r w:rsidR="00E712F7">
        <w:t xml:space="preserve">each </w:t>
      </w:r>
      <w:r w:rsidRPr="001C7564">
        <w:t>GDE</w:t>
      </w:r>
      <w:r>
        <w:t xml:space="preserve"> and determine the risk</w:t>
      </w:r>
      <w:r w:rsidR="00E712F7">
        <w:t>s</w:t>
      </w:r>
      <w:r>
        <w:t xml:space="preserve"> related to the </w:t>
      </w:r>
      <w:r w:rsidR="00E712F7">
        <w:t xml:space="preserve">CSG or LCM </w:t>
      </w:r>
      <w:r>
        <w:t>operation</w:t>
      </w:r>
      <w:r w:rsidR="00217AA4">
        <w:t xml:space="preserve"> – </w:t>
      </w:r>
      <w:r w:rsidR="00217AA4" w:rsidRPr="00EE242A">
        <w:rPr>
          <w:b/>
        </w:rPr>
        <w:t>Chapter 7</w:t>
      </w:r>
    </w:p>
    <w:p w14:paraId="31C8BB2F" w14:textId="77777777" w:rsidR="00A23B87" w:rsidRDefault="00217AA4" w:rsidP="00F1192F">
      <w:pPr>
        <w:pStyle w:val="BodyText"/>
        <w:numPr>
          <w:ilvl w:val="0"/>
          <w:numId w:val="33"/>
        </w:numPr>
      </w:pPr>
      <w:r>
        <w:t>prioritising</w:t>
      </w:r>
      <w:r w:rsidR="00A23B87">
        <w:t xml:space="preserve"> </w:t>
      </w:r>
      <w:r w:rsidR="00A23B87" w:rsidRPr="001C7564">
        <w:t>options to avoid or mitigate impacts</w:t>
      </w:r>
      <w:r w:rsidR="00A23B87" w:rsidRPr="3258323F">
        <w:t xml:space="preserve"> to GDEs</w:t>
      </w:r>
      <w:r w:rsidR="00A23B87">
        <w:t xml:space="preserve"> and establish a monitoring plan to </w:t>
      </w:r>
      <w:r w:rsidR="00E712F7">
        <w:t xml:space="preserve">assess </w:t>
      </w:r>
      <w:r w:rsidR="00A23B87">
        <w:t>effectiveness of mitigation or identify unexpected impacts</w:t>
      </w:r>
      <w:r>
        <w:t xml:space="preserve"> – </w:t>
      </w:r>
      <w:r w:rsidRPr="00EE242A">
        <w:rPr>
          <w:b/>
        </w:rPr>
        <w:t>Chapter 8</w:t>
      </w:r>
    </w:p>
    <w:p w14:paraId="31C8BB30" w14:textId="77777777" w:rsidR="00B95B2D" w:rsidRDefault="00E712F7" w:rsidP="00E3557E">
      <w:pPr>
        <w:pStyle w:val="BodyText"/>
      </w:pPr>
      <w:r>
        <w:t xml:space="preserve">Case </w:t>
      </w:r>
      <w:r w:rsidR="00217AA4">
        <w:t xml:space="preserve">studies are included to provide examples and support </w:t>
      </w:r>
      <w:r>
        <w:t xml:space="preserve">suggested </w:t>
      </w:r>
      <w:r w:rsidR="00217AA4">
        <w:t xml:space="preserve">guidance. Recommendations are highlighted throughout and summarised in Chapter 9. The </w:t>
      </w:r>
      <w:r w:rsidR="00EE242A">
        <w:t xml:space="preserve">expected </w:t>
      </w:r>
      <w:r w:rsidR="00217AA4">
        <w:t>outcomes of key steps in the framework</w:t>
      </w:r>
      <w:r w:rsidR="00EE242A">
        <w:t xml:space="preserve"> </w:t>
      </w:r>
      <w:r w:rsidR="00217AA4">
        <w:t>are given within each chapter and summarised below.</w:t>
      </w:r>
    </w:p>
    <w:p w14:paraId="31C8BB31" w14:textId="77777777" w:rsidR="00B95B2D" w:rsidRDefault="00B95B2D" w:rsidP="00E3557E">
      <w:pPr>
        <w:pStyle w:val="BodyText"/>
      </w:pPr>
    </w:p>
    <w:p w14:paraId="31C8BB32" w14:textId="77777777" w:rsidR="00217AA4" w:rsidRDefault="00217AA4" w:rsidP="001D6DC5">
      <w:pPr>
        <w:pStyle w:val="BodyText"/>
        <w:rPr>
          <w:i/>
        </w:rPr>
      </w:pPr>
    </w:p>
    <w:p w14:paraId="31C8BB33" w14:textId="77777777" w:rsidR="00217AA4" w:rsidRPr="00217AA4" w:rsidRDefault="00217AA4" w:rsidP="00217AA4">
      <w:pPr>
        <w:pStyle w:val="BodyText"/>
        <w:rPr>
          <w:i/>
        </w:rPr>
      </w:pPr>
      <w:r w:rsidRPr="00217AA4">
        <w:rPr>
          <w:i/>
        </w:rPr>
        <w:t>Identify GDEs in project impact area</w:t>
      </w:r>
    </w:p>
    <w:p w14:paraId="31C8BB34" w14:textId="77777777" w:rsidR="00217AA4" w:rsidRDefault="00217AA4" w:rsidP="008C5F19">
      <w:pPr>
        <w:pStyle w:val="BodyText"/>
        <w:numPr>
          <w:ilvl w:val="0"/>
          <w:numId w:val="42"/>
        </w:numPr>
      </w:pPr>
      <w:r>
        <w:t>T</w:t>
      </w:r>
      <w:r w:rsidRPr="004840CB">
        <w:t xml:space="preserve">he proponent will have a list and map of potential GDEs that may </w:t>
      </w:r>
      <w:r w:rsidRPr="00695D3C">
        <w:t>include alluvial aquifers, wetlands, rivers, springs</w:t>
      </w:r>
      <w:r w:rsidR="00E712F7">
        <w:t xml:space="preserve"> and</w:t>
      </w:r>
      <w:r w:rsidRPr="00695D3C">
        <w:t xml:space="preserve"> vegetation communities</w:t>
      </w:r>
      <w:r w:rsidR="00E712F7">
        <w:t>, together with</w:t>
      </w:r>
      <w:r w:rsidRPr="00695D3C">
        <w:t xml:space="preserve"> an indication of the likelihood of groundwater dependence for each potential GDE in the project</w:t>
      </w:r>
      <w:r>
        <w:t xml:space="preserve"> impact</w:t>
      </w:r>
      <w:r w:rsidRPr="00695D3C">
        <w:t xml:space="preserve"> area</w:t>
      </w:r>
      <w:r w:rsidR="00F9609B">
        <w:t>.</w:t>
      </w:r>
    </w:p>
    <w:p w14:paraId="31C8BB35" w14:textId="77777777" w:rsidR="001D6DC5" w:rsidRPr="001D6DC5" w:rsidRDefault="001D6DC5" w:rsidP="001D6DC5">
      <w:pPr>
        <w:pStyle w:val="BodyText"/>
        <w:rPr>
          <w:i/>
        </w:rPr>
      </w:pPr>
      <w:r w:rsidRPr="001D6DC5">
        <w:rPr>
          <w:i/>
        </w:rPr>
        <w:t>Characterising ecosystem reliance on groundwater</w:t>
      </w:r>
    </w:p>
    <w:p w14:paraId="31C8BB36" w14:textId="77777777" w:rsidR="001D6DC5" w:rsidRDefault="00E712F7" w:rsidP="008C5F19">
      <w:pPr>
        <w:pStyle w:val="BodyText"/>
        <w:numPr>
          <w:ilvl w:val="0"/>
          <w:numId w:val="41"/>
        </w:numPr>
      </w:pPr>
      <w:r>
        <w:t>The p</w:t>
      </w:r>
      <w:r w:rsidR="001D6DC5">
        <w:t xml:space="preserve">roponent </w:t>
      </w:r>
      <w:r>
        <w:t>will have assessed</w:t>
      </w:r>
      <w:r w:rsidR="001D6DC5">
        <w:t xml:space="preserve"> the </w:t>
      </w:r>
      <w:r>
        <w:t xml:space="preserve">likely </w:t>
      </w:r>
      <w:r w:rsidR="001D6DC5">
        <w:t>level of groundwater dependence of potential GDEs in the project impact area as high, medium, low or nil using a multiple lines</w:t>
      </w:r>
      <w:r>
        <w:t>-</w:t>
      </w:r>
      <w:r w:rsidR="001D6DC5">
        <w:t>of</w:t>
      </w:r>
      <w:r>
        <w:t>-</w:t>
      </w:r>
      <w:r w:rsidR="001D6DC5">
        <w:t xml:space="preserve">evidence approach. Temporal and spatial groundwater needs </w:t>
      </w:r>
      <w:r>
        <w:t xml:space="preserve">will be </w:t>
      </w:r>
      <w:r w:rsidR="001D6DC5">
        <w:t>documented</w:t>
      </w:r>
      <w:r>
        <w:t>, and c</w:t>
      </w:r>
      <w:r w:rsidR="001D6DC5">
        <w:t>ausal impact pathways identified</w:t>
      </w:r>
      <w:r>
        <w:t xml:space="preserve">. Where possible, </w:t>
      </w:r>
      <w:r w:rsidR="001D6DC5">
        <w:t xml:space="preserve">conceptual models </w:t>
      </w:r>
      <w:r>
        <w:t xml:space="preserve">will be </w:t>
      </w:r>
      <w:r w:rsidR="001D6DC5">
        <w:t>updated with new information</w:t>
      </w:r>
      <w:r w:rsidR="00F9609B">
        <w:t>.</w:t>
      </w:r>
    </w:p>
    <w:p w14:paraId="31C8BB37" w14:textId="77777777" w:rsidR="001D6DC5" w:rsidRPr="001D6DC5" w:rsidRDefault="001D6DC5" w:rsidP="001D6DC5">
      <w:pPr>
        <w:pStyle w:val="BodyText"/>
        <w:rPr>
          <w:i/>
        </w:rPr>
      </w:pPr>
      <w:r>
        <w:rPr>
          <w:i/>
        </w:rPr>
        <w:t>Determine b</w:t>
      </w:r>
      <w:r w:rsidRPr="001D6DC5">
        <w:rPr>
          <w:i/>
        </w:rPr>
        <w:t>aseline conditions</w:t>
      </w:r>
    </w:p>
    <w:p w14:paraId="31C8BB38" w14:textId="77777777" w:rsidR="001D6DC5" w:rsidRDefault="00E712F7" w:rsidP="008C5F19">
      <w:pPr>
        <w:pStyle w:val="BodyText"/>
        <w:numPr>
          <w:ilvl w:val="0"/>
          <w:numId w:val="41"/>
        </w:numPr>
      </w:pPr>
      <w:r>
        <w:t>The p</w:t>
      </w:r>
      <w:r w:rsidR="001D6DC5" w:rsidRPr="00217AA4">
        <w:t xml:space="preserve">roponent will have </w:t>
      </w:r>
      <w:r>
        <w:t>assessed</w:t>
      </w:r>
      <w:r w:rsidR="001D6DC5" w:rsidRPr="00217AA4">
        <w:t xml:space="preserve"> baseline condition</w:t>
      </w:r>
      <w:r>
        <w:t xml:space="preserve"> of GDEs</w:t>
      </w:r>
      <w:r w:rsidR="001D6DC5" w:rsidRPr="00217AA4">
        <w:t xml:space="preserve"> within and outside the project impact area</w:t>
      </w:r>
      <w:r>
        <w:t>, recognising</w:t>
      </w:r>
      <w:r w:rsidR="001D6DC5" w:rsidRPr="00217AA4">
        <w:t xml:space="preserve"> the need to incorporate </w:t>
      </w:r>
      <w:r>
        <w:t xml:space="preserve">appropriate </w:t>
      </w:r>
      <w:r w:rsidR="001D6DC5" w:rsidRPr="00217AA4">
        <w:t xml:space="preserve">field survey and monitoring </w:t>
      </w:r>
      <w:r>
        <w:t>methods that consider</w:t>
      </w:r>
      <w:r w:rsidR="001D6DC5" w:rsidRPr="00217AA4">
        <w:t xml:space="preserve"> factors such as site selection, level of survey detail required, sampling methods, determination of ecological value and condition, level of groundwater dependence, </w:t>
      </w:r>
      <w:r>
        <w:t xml:space="preserve">suitable </w:t>
      </w:r>
      <w:r w:rsidR="001D6DC5" w:rsidRPr="00217AA4">
        <w:t xml:space="preserve">data analysis and </w:t>
      </w:r>
      <w:r>
        <w:t xml:space="preserve">well-justified </w:t>
      </w:r>
      <w:r w:rsidR="001D6DC5" w:rsidRPr="00217AA4">
        <w:t>management</w:t>
      </w:r>
      <w:r>
        <w:t xml:space="preserve"> options</w:t>
      </w:r>
      <w:r w:rsidR="001D6DC5" w:rsidRPr="00217AA4">
        <w:t>. The collected information will provide an understanding of the natural variability in each GDE and inform decisions to determine an ‘</w:t>
      </w:r>
      <w:r w:rsidR="001D6DC5">
        <w:t>acceptable level of change’</w:t>
      </w:r>
      <w:r w:rsidR="001D6DC5" w:rsidRPr="00217AA4">
        <w:t xml:space="preserve"> with consideration of the ecological value of e</w:t>
      </w:r>
      <w:r>
        <w:t>ach</w:t>
      </w:r>
      <w:r w:rsidR="001D6DC5" w:rsidRPr="00217AA4">
        <w:t xml:space="preserve"> GDE.</w:t>
      </w:r>
      <w:r w:rsidR="001D6DC5" w:rsidRPr="004B1450">
        <w:t xml:space="preserve"> </w:t>
      </w:r>
      <w:r w:rsidR="001D6DC5">
        <w:t>Monitoring programs should state the goals of monitoring, what is to be measured, where and how often, how each variable relates to potential impacts and GDE responses, and how the data will be</w:t>
      </w:r>
      <w:r w:rsidR="00471E8C">
        <w:t xml:space="preserve"> stored, analysed and presented</w:t>
      </w:r>
      <w:r w:rsidR="00F9609B">
        <w:t>.</w:t>
      </w:r>
    </w:p>
    <w:p w14:paraId="31C8BB39" w14:textId="77777777" w:rsidR="001D6DC5" w:rsidRPr="001D6DC5" w:rsidRDefault="001D6DC5" w:rsidP="001D6DC5">
      <w:pPr>
        <w:pStyle w:val="BodyText"/>
        <w:rPr>
          <w:rFonts w:asciiTheme="minorHAnsi" w:eastAsiaTheme="minorHAnsi" w:hAnsiTheme="minorHAnsi" w:cstheme="minorBidi"/>
          <w:bCs/>
          <w:i/>
          <w:color w:val="auto"/>
          <w:lang w:eastAsia="en-US"/>
        </w:rPr>
      </w:pPr>
      <w:r>
        <w:rPr>
          <w:rFonts w:asciiTheme="minorHAnsi" w:eastAsiaTheme="minorHAnsi" w:hAnsiTheme="minorHAnsi" w:cstheme="minorBidi"/>
          <w:bCs/>
          <w:i/>
          <w:color w:val="auto"/>
          <w:lang w:eastAsia="en-US"/>
        </w:rPr>
        <w:t>Assess</w:t>
      </w:r>
      <w:r w:rsidRPr="001D6DC5">
        <w:rPr>
          <w:rFonts w:asciiTheme="minorHAnsi" w:eastAsiaTheme="minorHAnsi" w:hAnsiTheme="minorHAnsi" w:cstheme="minorBidi"/>
          <w:bCs/>
          <w:i/>
          <w:color w:val="auto"/>
          <w:lang w:eastAsia="en-US"/>
        </w:rPr>
        <w:t xml:space="preserve"> impacts and risk </w:t>
      </w:r>
      <w:r>
        <w:rPr>
          <w:rFonts w:asciiTheme="minorHAnsi" w:eastAsiaTheme="minorHAnsi" w:hAnsiTheme="minorHAnsi" w:cstheme="minorBidi"/>
          <w:bCs/>
          <w:i/>
          <w:color w:val="auto"/>
          <w:lang w:eastAsia="en-US"/>
        </w:rPr>
        <w:t>of CSG and LCM</w:t>
      </w:r>
    </w:p>
    <w:p w14:paraId="31C8BB3A" w14:textId="77777777" w:rsidR="001D6DC5" w:rsidRDefault="001D6DC5" w:rsidP="008C5F19">
      <w:pPr>
        <w:pStyle w:val="BodyText"/>
        <w:numPr>
          <w:ilvl w:val="0"/>
          <w:numId w:val="41"/>
        </w:numPr>
      </w:pPr>
      <w:r>
        <w:t>T</w:t>
      </w:r>
      <w:r w:rsidRPr="004840CB">
        <w:t>he proponent</w:t>
      </w:r>
      <w:r>
        <w:t>,</w:t>
      </w:r>
      <w:r w:rsidRPr="004840CB">
        <w:t xml:space="preserve"> </w:t>
      </w:r>
      <w:r>
        <w:t xml:space="preserve">after defining the baseline condition of </w:t>
      </w:r>
      <w:r w:rsidR="00E712F7">
        <w:t xml:space="preserve">each </w:t>
      </w:r>
      <w:r>
        <w:t xml:space="preserve">GDE within and outside the area of impact, will have </w:t>
      </w:r>
      <w:r w:rsidR="008C2D4B">
        <w:t>identified</w:t>
      </w:r>
      <w:r>
        <w:t xml:space="preserve"> how </w:t>
      </w:r>
      <w:r w:rsidR="00E712F7">
        <w:t xml:space="preserve">the </w:t>
      </w:r>
      <w:r>
        <w:t>GDEs and the services they provide are likely to respond to changes in groundwater regime</w:t>
      </w:r>
      <w:r w:rsidR="00E712F7">
        <w:t xml:space="preserve"> and water quality</w:t>
      </w:r>
      <w:r>
        <w:t>, all processes likely to threaten GDEs as a result of CSG and LCM activities</w:t>
      </w:r>
      <w:r w:rsidR="008C2D4B">
        <w:t>,</w:t>
      </w:r>
      <w:r>
        <w:t xml:space="preserve"> and which </w:t>
      </w:r>
      <w:r w:rsidRPr="00597496">
        <w:t>GDEs are most at risk and the likely consequences at regional/state/national levels</w:t>
      </w:r>
      <w:r w:rsidR="00F9609B">
        <w:t>.</w:t>
      </w:r>
    </w:p>
    <w:p w14:paraId="31C8BB3B" w14:textId="77777777" w:rsidR="001D6DC5" w:rsidRPr="001D6DC5" w:rsidRDefault="001D6DC5" w:rsidP="001D6DC5">
      <w:pPr>
        <w:pStyle w:val="BodyText"/>
        <w:rPr>
          <w:i/>
        </w:rPr>
      </w:pPr>
      <w:r w:rsidRPr="001D6DC5">
        <w:rPr>
          <w:i/>
        </w:rPr>
        <w:t>Avoidance, mitigation and management plans</w:t>
      </w:r>
    </w:p>
    <w:p w14:paraId="31C8BB3C" w14:textId="77777777" w:rsidR="001D6DC5" w:rsidRPr="00955951" w:rsidRDefault="008C2D4B" w:rsidP="008C5F19">
      <w:pPr>
        <w:pStyle w:val="BodyText"/>
        <w:numPr>
          <w:ilvl w:val="0"/>
          <w:numId w:val="41"/>
        </w:numPr>
        <w:rPr>
          <w:lang w:eastAsia="en-US"/>
        </w:rPr>
      </w:pPr>
      <w:r>
        <w:t>The p</w:t>
      </w:r>
      <w:r w:rsidR="001D6DC5">
        <w:t xml:space="preserve">roponent will have a management plan which prioritises avoidance and </w:t>
      </w:r>
      <w:r>
        <w:t xml:space="preserve">justifies </w:t>
      </w:r>
      <w:r w:rsidR="001D6DC5">
        <w:t>mitigation measures to reduce impacts to GDEs. The management plan will include specific monitoring protocol</w:t>
      </w:r>
      <w:r>
        <w:t>s to assess effectiveness of mitigation strategies or identify unexpected impacts</w:t>
      </w:r>
      <w:r w:rsidR="00F9609B">
        <w:t>.</w:t>
      </w:r>
    </w:p>
    <w:p w14:paraId="31C8BB3D" w14:textId="77777777" w:rsidR="001D6DC5" w:rsidRDefault="00453C0B" w:rsidP="001D6DC5">
      <w:pPr>
        <w:pStyle w:val="BodyText"/>
      </w:pPr>
      <w:r>
        <w:t>Th</w:t>
      </w:r>
      <w:r w:rsidR="008C2D4B">
        <w:t>is</w:t>
      </w:r>
      <w:r>
        <w:t xml:space="preserve"> Explanatory Note will </w:t>
      </w:r>
      <w:r w:rsidR="008C2D4B">
        <w:t xml:space="preserve">help </w:t>
      </w:r>
      <w:r w:rsidR="00947D44">
        <w:t xml:space="preserve">proponents provide the most comprehensive information possible </w:t>
      </w:r>
      <w:r>
        <w:t>within an environmental impact assessment</w:t>
      </w:r>
      <w:r w:rsidR="00754103">
        <w:t>,</w:t>
      </w:r>
      <w:r>
        <w:t xml:space="preserve"> </w:t>
      </w:r>
      <w:r w:rsidR="00754103">
        <w:t>based on the available data,</w:t>
      </w:r>
      <w:r w:rsidR="00754103" w:rsidRPr="00754103">
        <w:t xml:space="preserve"> </w:t>
      </w:r>
      <w:r w:rsidR="00754103">
        <w:t>to avoid delays in decision</w:t>
      </w:r>
      <w:r w:rsidR="008C2D4B">
        <w:t>-</w:t>
      </w:r>
      <w:r w:rsidR="00754103">
        <w:t>making</w:t>
      </w:r>
      <w:r w:rsidR="008C2D4B">
        <w:t xml:space="preserve"> and</w:t>
      </w:r>
      <w:r w:rsidR="00754103">
        <w:t xml:space="preserve"> ensur</w:t>
      </w:r>
      <w:r w:rsidR="008C2D4B">
        <w:t>e</w:t>
      </w:r>
      <w:r w:rsidR="00754103">
        <w:t xml:space="preserve"> </w:t>
      </w:r>
      <w:r w:rsidR="00B12A69">
        <w:t xml:space="preserve">that </w:t>
      </w:r>
      <w:r w:rsidR="00754103">
        <w:t>decisions are well informed.</w:t>
      </w:r>
      <w:r w:rsidR="00754103" w:rsidRPr="00754103">
        <w:t xml:space="preserve"> </w:t>
      </w:r>
    </w:p>
    <w:p w14:paraId="31C8BB3E" w14:textId="77777777" w:rsidR="00754103" w:rsidRDefault="00754103" w:rsidP="00754103">
      <w:pPr>
        <w:pStyle w:val="BodyText"/>
      </w:pPr>
      <w:r>
        <w:t xml:space="preserve"> </w:t>
      </w:r>
    </w:p>
    <w:p w14:paraId="31C8BB3F" w14:textId="77777777" w:rsidR="00754103" w:rsidRDefault="00754103" w:rsidP="001D6DC5">
      <w:pPr>
        <w:pStyle w:val="BodyText"/>
      </w:pPr>
    </w:p>
    <w:p w14:paraId="31C8BB40" w14:textId="77777777" w:rsidR="00B57A8D" w:rsidRPr="00E3557E" w:rsidRDefault="00B57A8D" w:rsidP="001D6DC5">
      <w:pPr>
        <w:pStyle w:val="BodyText"/>
      </w:pPr>
    </w:p>
    <w:p w14:paraId="31C8BB41" w14:textId="77777777" w:rsidR="007A727E" w:rsidRDefault="007A727E" w:rsidP="00975E7F">
      <w:pPr>
        <w:pStyle w:val="Heading1"/>
      </w:pPr>
      <w:bookmarkStart w:id="2" w:name="_Toc509996452"/>
      <w:bookmarkStart w:id="3" w:name="_Toc504056322"/>
      <w:r w:rsidRPr="00975E7F">
        <w:lastRenderedPageBreak/>
        <w:t>Background</w:t>
      </w:r>
      <w:bookmarkEnd w:id="2"/>
    </w:p>
    <w:p w14:paraId="31C8BB42" w14:textId="77777777" w:rsidR="007876C8" w:rsidRDefault="007876C8" w:rsidP="007876C8">
      <w:pPr>
        <w:pStyle w:val="Heading2"/>
      </w:pPr>
      <w:bookmarkStart w:id="4" w:name="_Toc509996453"/>
      <w:bookmarkEnd w:id="3"/>
      <w:r>
        <w:t>Purpose</w:t>
      </w:r>
      <w:bookmarkEnd w:id="4"/>
    </w:p>
    <w:p w14:paraId="31C8BB43" w14:textId="77777777" w:rsidR="00351AA3" w:rsidRDefault="00EC33F6" w:rsidP="007876C8">
      <w:pPr>
        <w:pStyle w:val="BodyText"/>
      </w:pPr>
      <w:r>
        <w:rPr>
          <w:noProof/>
        </w:rPr>
        <w:drawing>
          <wp:anchor distT="0" distB="0" distL="114300" distR="114300" simplePos="0" relativeHeight="251862528" behindDoc="0" locked="0" layoutInCell="1" allowOverlap="1" wp14:anchorId="31C8C2CA" wp14:editId="31C8C2CB">
            <wp:simplePos x="0" y="0"/>
            <wp:positionH relativeFrom="margin">
              <wp:align>right</wp:align>
            </wp:positionH>
            <wp:positionV relativeFrom="paragraph">
              <wp:posOffset>838835</wp:posOffset>
            </wp:positionV>
            <wp:extent cx="2748915" cy="1510030"/>
            <wp:effectExtent l="0" t="0" r="0" b="0"/>
            <wp:wrapThrough wrapText="bothSides">
              <wp:wrapPolygon edited="0">
                <wp:start x="0" y="0"/>
                <wp:lineTo x="0" y="21255"/>
                <wp:lineTo x="21405" y="21255"/>
                <wp:lineTo x="21405" y="0"/>
                <wp:lineTo x="0" y="0"/>
              </wp:wrapPolygon>
            </wp:wrapThrough>
            <wp:docPr id="48" name="Picture 10" descr="DSC_7440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DSC_7440v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8915" cy="1510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51AA3">
        <w:t xml:space="preserve">To provide </w:t>
      </w:r>
      <w:r w:rsidR="00084275">
        <w:t xml:space="preserve">appropriate </w:t>
      </w:r>
      <w:r w:rsidR="00351AA3">
        <w:t>scientific advice to the Commonwealth Environment Minister and relevant state ministers, the Independent Expert Scientific Committee on Coal Seam Gas and Large Coal Mining Development (the IESC) requires specific information to be included in coal seam gas (CSG) and large coal minin</w:t>
      </w:r>
      <w:r w:rsidR="00012C16">
        <w:t xml:space="preserve">g (LCM) development proposals. </w:t>
      </w:r>
      <w:r w:rsidR="00351AA3">
        <w:t xml:space="preserve">This ensures decisions are fully informed and reduces delays in decision-making. </w:t>
      </w:r>
    </w:p>
    <w:p w14:paraId="31C8BB44" w14:textId="77777777" w:rsidR="00351AA3" w:rsidRDefault="00351AA3" w:rsidP="00351AA3">
      <w:pPr>
        <w:pStyle w:val="BodyText"/>
      </w:pPr>
      <w:r>
        <w:t>Specific information requirements are presented in the IESC Information Guidelines (</w:t>
      </w:r>
      <w:hyperlink r:id="rId25" w:history="1">
        <w:r w:rsidR="00340DDE">
          <w:rPr>
            <w:rStyle w:val="Hyperlink"/>
          </w:rPr>
          <w:t>IESC</w:t>
        </w:r>
      </w:hyperlink>
      <w:r>
        <w:t>). For some topics, Explanatory Notes have been written to supplement the IESC Information Guidelines</w:t>
      </w:r>
      <w:r w:rsidR="00012C16">
        <w:t>,</w:t>
      </w:r>
      <w:r w:rsidR="00DA3C31">
        <w:t xml:space="preserve"> </w:t>
      </w:r>
      <w:r>
        <w:t xml:space="preserve">giving more detailed guidance on particular topics to help proponents and consultants prepare their Environmental Impact </w:t>
      </w:r>
      <w:r w:rsidR="00BB1DD0">
        <w:t>Assessments (EIA</w:t>
      </w:r>
      <w:r>
        <w:t xml:space="preserve">s).  </w:t>
      </w:r>
    </w:p>
    <w:p w14:paraId="31C8BB45" w14:textId="77777777" w:rsidR="00351AA3" w:rsidRDefault="00351AA3" w:rsidP="00351AA3">
      <w:pPr>
        <w:pStyle w:val="BodyText"/>
      </w:pPr>
      <w:r>
        <w:t>The current Explanatory Note describes what is required to assess potential risks of CSG and</w:t>
      </w:r>
      <w:r w:rsidR="00012C16">
        <w:t xml:space="preserve"> LCM development on </w:t>
      </w:r>
      <w:r w:rsidR="004F60BB">
        <w:t>groundwater-dependent</w:t>
      </w:r>
      <w:r>
        <w:t xml:space="preserve"> ecosystems (GDEs). It outlines a logical sequence of activities to identify and map GDEs, investigate their groundwater dependence</w:t>
      </w:r>
      <w:r w:rsidR="00084275">
        <w:t>, water</w:t>
      </w:r>
      <w:r>
        <w:t xml:space="preserve"> requirements, baseline condition and value, identify potential threats and assess risks to GDEs from the proposed project</w:t>
      </w:r>
      <w:r w:rsidR="00012C16">
        <w:t>. R</w:t>
      </w:r>
      <w:r>
        <w:t>elevant mitigation and management strategies</w:t>
      </w:r>
      <w:r w:rsidR="00012C16">
        <w:t xml:space="preserve"> are described</w:t>
      </w:r>
      <w:r>
        <w:t>, including monitoring protocols to survey GDEs, detect potential impacts and demonstrate the success of mitigation strategies. Tools and methods for GDE assessment are reviewed to help proponents choos</w:t>
      </w:r>
      <w:r w:rsidR="00012C16">
        <w:t>e the most effective approaches, highlighting that where risks are higher, more effort is required to prevent decline in GDE condition as a result of CSG or LCM</w:t>
      </w:r>
      <w:r w:rsidR="0040354E">
        <w:t xml:space="preserve"> development</w:t>
      </w:r>
      <w:r w:rsidR="00012C16">
        <w:t>.</w:t>
      </w:r>
      <w:r>
        <w:t xml:space="preserve">   </w:t>
      </w:r>
    </w:p>
    <w:p w14:paraId="31C8BB46" w14:textId="77777777" w:rsidR="000460FA" w:rsidRDefault="00C41E4E" w:rsidP="00351AA3">
      <w:pPr>
        <w:pStyle w:val="Heading2"/>
      </w:pPr>
      <w:bookmarkStart w:id="5" w:name="_Toc509996454"/>
      <w:r>
        <w:t>Legislative context</w:t>
      </w:r>
      <w:bookmarkEnd w:id="5"/>
      <w:r w:rsidR="00A01559">
        <w:t xml:space="preserve"> </w:t>
      </w:r>
    </w:p>
    <w:p w14:paraId="31C8BB47" w14:textId="77777777" w:rsidR="009313D2" w:rsidRDefault="009313D2" w:rsidP="000460FA">
      <w:pPr>
        <w:pStyle w:val="BodyText"/>
      </w:pPr>
      <w:r>
        <w:t>The management of GDEs</w:t>
      </w:r>
      <w:r w:rsidR="009B4440">
        <w:t xml:space="preserve"> is incorporated in the National Water Initiative </w:t>
      </w:r>
      <w:r w:rsidR="00E111B8">
        <w:t>(NWI, 2004), an intergovernmental agreement which highlights the importance of groundwater and a ‘whole of water cycle’ approach to protect water resources. The initiative acknowledges that a better understanding of the relationship between groundwater resources and GDEs is required to facilitate their protection.</w:t>
      </w:r>
    </w:p>
    <w:p w14:paraId="31C8BB48" w14:textId="77777777" w:rsidR="00527AEE" w:rsidRDefault="00BD0CD7" w:rsidP="00527AEE">
      <w:pPr>
        <w:pStyle w:val="BodyText"/>
        <w:rPr>
          <w:rFonts w:eastAsiaTheme="minorHAnsi"/>
        </w:rPr>
      </w:pPr>
      <w:r w:rsidRPr="0004067E">
        <w:rPr>
          <w:noProof/>
        </w:rPr>
        <w:drawing>
          <wp:anchor distT="0" distB="0" distL="114300" distR="114300" simplePos="0" relativeHeight="251817472" behindDoc="0" locked="0" layoutInCell="1" allowOverlap="1" wp14:anchorId="31C8C2CC" wp14:editId="31C8C2CD">
            <wp:simplePos x="0" y="0"/>
            <wp:positionH relativeFrom="margin">
              <wp:align>left</wp:align>
            </wp:positionH>
            <wp:positionV relativeFrom="paragraph">
              <wp:posOffset>0</wp:posOffset>
            </wp:positionV>
            <wp:extent cx="2450465" cy="1628775"/>
            <wp:effectExtent l="0" t="0" r="6985" b="9525"/>
            <wp:wrapThrough wrapText="bothSides">
              <wp:wrapPolygon edited="0">
                <wp:start x="0" y="0"/>
                <wp:lineTo x="0" y="21474"/>
                <wp:lineTo x="21494" y="21474"/>
                <wp:lineTo x="21494" y="0"/>
                <wp:lineTo x="0" y="0"/>
              </wp:wrapPolygon>
            </wp:wrapThrough>
            <wp:docPr id="46" name="Picture_x0020_0" descr="P102067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_x0020_0" descr="P1020674v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50465" cy="162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7AEE">
        <w:t xml:space="preserve">Australian and state regulators who are signatories to the National Partnership Agreement seek the IESC’s advice under the </w:t>
      </w:r>
      <w:r w:rsidR="00527AEE" w:rsidRPr="008563FC">
        <w:rPr>
          <w:i/>
        </w:rPr>
        <w:t>EPBC Act 1999</w:t>
      </w:r>
      <w:r w:rsidR="00527AEE">
        <w:t xml:space="preserve"> at appropriate stages of the approvals process for a coal seam gas or large coal mining development that is likely to have a significant impact on water resources. </w:t>
      </w:r>
    </w:p>
    <w:p w14:paraId="31C8BB49" w14:textId="77777777" w:rsidR="00E06574" w:rsidRDefault="003032E2" w:rsidP="000460FA">
      <w:pPr>
        <w:pStyle w:val="BodyText"/>
      </w:pPr>
      <w:r>
        <w:t>A water resource is defined as ‘(</w:t>
      </w:r>
      <w:proofErr w:type="spellStart"/>
      <w:r>
        <w:t>i</w:t>
      </w:r>
      <w:proofErr w:type="spellEnd"/>
      <w:r>
        <w:t>) surface water or groundwater; or (ii) a water course, lake</w:t>
      </w:r>
      <w:r w:rsidR="009133BA">
        <w:t>,</w:t>
      </w:r>
      <w:r>
        <w:t xml:space="preserve"> wetland or aquifer (whether or not it currently has water in it); and includes all aspects of the water resource (including water, organisms and other components and ecosystems that contribute to the physical state and environmental value of the resource)’</w:t>
      </w:r>
      <w:r w:rsidR="00CE4A24">
        <w:t xml:space="preserve"> by the </w:t>
      </w:r>
      <w:r w:rsidR="00527AEE" w:rsidRPr="008563FC">
        <w:t>Commonwealth</w:t>
      </w:r>
      <w:r w:rsidR="00527AEE" w:rsidRPr="00527AEE">
        <w:rPr>
          <w:i/>
        </w:rPr>
        <w:t xml:space="preserve"> </w:t>
      </w:r>
      <w:r w:rsidR="00CE4A24" w:rsidRPr="00CE4A24">
        <w:rPr>
          <w:i/>
        </w:rPr>
        <w:t>Water Act</w:t>
      </w:r>
      <w:r w:rsidR="00CE4A24">
        <w:t xml:space="preserve"> </w:t>
      </w:r>
      <w:r w:rsidR="00CE4A24" w:rsidRPr="00CE4A24">
        <w:rPr>
          <w:i/>
        </w:rPr>
        <w:t>2007</w:t>
      </w:r>
      <w:r w:rsidR="00CE4A24">
        <w:t xml:space="preserve"> (W</w:t>
      </w:r>
      <w:r w:rsidR="00527AEE">
        <w:t xml:space="preserve">ater </w:t>
      </w:r>
      <w:r w:rsidR="00CE4A24">
        <w:t>A</w:t>
      </w:r>
      <w:r w:rsidR="00120A1A">
        <w:t>ct</w:t>
      </w:r>
      <w:r w:rsidR="00CE4A24">
        <w:t>, 2007)</w:t>
      </w:r>
      <w:r w:rsidR="009133BA">
        <w:t>,</w:t>
      </w:r>
      <w:r w:rsidR="00CE4A24">
        <w:t xml:space="preserve"> which supports the National Water In</w:t>
      </w:r>
      <w:r w:rsidR="007D63EC">
        <w:t>iti</w:t>
      </w:r>
      <w:r w:rsidR="00CE4A24">
        <w:t>ative</w:t>
      </w:r>
      <w:r w:rsidR="007D63EC">
        <w:t>.</w:t>
      </w:r>
    </w:p>
    <w:p w14:paraId="31C8BB4A" w14:textId="77777777" w:rsidR="007D63EC" w:rsidRDefault="00351AA3" w:rsidP="00073B2C">
      <w:pPr>
        <w:pStyle w:val="Heading1"/>
      </w:pPr>
      <w:bookmarkStart w:id="6" w:name="_Toc509996455"/>
      <w:r>
        <w:lastRenderedPageBreak/>
        <w:t>G</w:t>
      </w:r>
      <w:r w:rsidR="00DA3C31">
        <w:t>roundwater</w:t>
      </w:r>
      <w:r w:rsidR="0040354E">
        <w:t>-</w:t>
      </w:r>
      <w:r>
        <w:t>dependent</w:t>
      </w:r>
      <w:r w:rsidR="007D63EC">
        <w:t xml:space="preserve"> ecosystems</w:t>
      </w:r>
      <w:bookmarkEnd w:id="6"/>
    </w:p>
    <w:p w14:paraId="31C8BB4B" w14:textId="77777777" w:rsidR="00BF28A4" w:rsidRPr="00BF28A4" w:rsidRDefault="00BF28A4" w:rsidP="00BF28A4">
      <w:pPr>
        <w:pStyle w:val="Heading2"/>
      </w:pPr>
      <w:bookmarkStart w:id="7" w:name="_Toc509996456"/>
      <w:r>
        <w:t>GDE typology</w:t>
      </w:r>
      <w:bookmarkEnd w:id="7"/>
    </w:p>
    <w:p w14:paraId="31C8BB4C" w14:textId="77777777" w:rsidR="00C00F99" w:rsidRDefault="00C00F99" w:rsidP="00C00F99">
      <w:pPr>
        <w:pStyle w:val="BodyText"/>
      </w:pPr>
      <w:r>
        <w:t xml:space="preserve">GDEs are complex dynamic ‘natural ecosystems that require access to groundwater to meet all or some of their water requirements on a </w:t>
      </w:r>
      <w:r w:rsidR="002C7BE9">
        <w:t>permanent</w:t>
      </w:r>
      <w:r>
        <w:t xml:space="preserve"> or intermittent basis, so as to </w:t>
      </w:r>
      <w:r w:rsidR="002C7BE9">
        <w:t>maintain their communities of plants and animals, ecosystem processes and ecosystem services</w:t>
      </w:r>
      <w:r w:rsidR="00614F42">
        <w:t>’</w:t>
      </w:r>
      <w:r w:rsidR="002C7BE9">
        <w:t xml:space="preserve"> (Richardson et al., 2011)</w:t>
      </w:r>
      <w:r w:rsidR="0020453F">
        <w:t>.</w:t>
      </w:r>
      <w:r w:rsidR="00870CF6">
        <w:t xml:space="preserve"> The presence of diverse GDEs is driven by temporal</w:t>
      </w:r>
      <w:r w:rsidR="00351AA3">
        <w:t xml:space="preserve"> and spatial</w:t>
      </w:r>
      <w:r w:rsidR="00870CF6">
        <w:t xml:space="preserve"> groundwater flow variability dependent on geology, climate and land</w:t>
      </w:r>
      <w:r w:rsidR="00BB2C64">
        <w:t xml:space="preserve"> </w:t>
      </w:r>
      <w:r w:rsidR="00870CF6">
        <w:t>use.</w:t>
      </w:r>
    </w:p>
    <w:p w14:paraId="31C8BB4D" w14:textId="77777777" w:rsidR="006D6E53" w:rsidRDefault="00870CF6" w:rsidP="00C00F99">
      <w:pPr>
        <w:pStyle w:val="BodyText"/>
      </w:pPr>
      <w:r>
        <w:t>Groundwater</w:t>
      </w:r>
      <w:r w:rsidR="00285E70">
        <w:t>,</w:t>
      </w:r>
      <w:r>
        <w:t xml:space="preserve"> for the purpose of th</w:t>
      </w:r>
      <w:r w:rsidR="0040354E">
        <w:t>is</w:t>
      </w:r>
      <w:r>
        <w:t xml:space="preserve"> </w:t>
      </w:r>
      <w:r w:rsidR="00B819EF">
        <w:t>E</w:t>
      </w:r>
      <w:r>
        <w:t xml:space="preserve">xplanatory </w:t>
      </w:r>
      <w:r w:rsidR="00B819EF">
        <w:t>N</w:t>
      </w:r>
      <w:r>
        <w:t>ote, is defined as (</w:t>
      </w:r>
      <w:proofErr w:type="spellStart"/>
      <w:r>
        <w:t>i</w:t>
      </w:r>
      <w:proofErr w:type="spellEnd"/>
      <w:r>
        <w:t xml:space="preserve">) </w:t>
      </w:r>
      <w:r w:rsidRPr="00870CF6">
        <w:t>water naturally occurring below ground level</w:t>
      </w:r>
      <w:r w:rsidR="00285E70">
        <w:t xml:space="preserve"> in a zone of saturation</w:t>
      </w:r>
      <w:r w:rsidRPr="00870CF6">
        <w:t xml:space="preserve"> (</w:t>
      </w:r>
      <w:r w:rsidR="00BF32D0">
        <w:t>e.g.</w:t>
      </w:r>
      <w:r w:rsidRPr="00870CF6">
        <w:t xml:space="preserve"> aquifer) </w:t>
      </w:r>
      <w:r w:rsidR="00285E70">
        <w:t xml:space="preserve">and its capillary fringe, </w:t>
      </w:r>
      <w:r w:rsidRPr="00870CF6">
        <w:t>or (ii) groundwater that has been pumped, diverted or released to that place for the purpose of being stored there (not including water</w:t>
      </w:r>
      <w:r w:rsidR="006D6E53">
        <w:t xml:space="preserve"> </w:t>
      </w:r>
      <w:r w:rsidRPr="00870CF6">
        <w:t>held in undergroun</w:t>
      </w:r>
      <w:r w:rsidR="00CD6343">
        <w:t xml:space="preserve">d tanks, pipes or other works; </w:t>
      </w:r>
      <w:r w:rsidRPr="00870CF6">
        <w:t>W</w:t>
      </w:r>
      <w:r w:rsidR="00527AEE">
        <w:t xml:space="preserve">ater </w:t>
      </w:r>
      <w:r w:rsidRPr="00870CF6">
        <w:t xml:space="preserve">Act, 2007). The definition includes </w:t>
      </w:r>
      <w:r w:rsidR="0040354E">
        <w:t xml:space="preserve">water in </w:t>
      </w:r>
      <w:r w:rsidRPr="00870CF6">
        <w:t xml:space="preserve">the </w:t>
      </w:r>
      <w:r w:rsidR="00C70F80">
        <w:t xml:space="preserve">soil </w:t>
      </w:r>
      <w:r w:rsidRPr="00870CF6">
        <w:t xml:space="preserve">capillary zone but </w:t>
      </w:r>
      <w:r w:rsidR="00285E70">
        <w:t xml:space="preserve">not the </w:t>
      </w:r>
      <w:r w:rsidRPr="00870CF6">
        <w:t>water</w:t>
      </w:r>
      <w:r w:rsidR="006D6E53">
        <w:t xml:space="preserve"> </w:t>
      </w:r>
      <w:r w:rsidRPr="00870CF6">
        <w:t xml:space="preserve">held </w:t>
      </w:r>
      <w:r w:rsidR="008C5E45">
        <w:t>in the soil above this zone</w:t>
      </w:r>
      <w:r w:rsidR="0040354E">
        <w:t xml:space="preserve"> in</w:t>
      </w:r>
      <w:r w:rsidR="008C5E45">
        <w:t xml:space="preserve"> the </w:t>
      </w:r>
      <w:r w:rsidR="002C681E">
        <w:t xml:space="preserve">unsaturated </w:t>
      </w:r>
      <w:r w:rsidR="008C5E45">
        <w:t xml:space="preserve">or vadose </w:t>
      </w:r>
      <w:r w:rsidR="002C681E">
        <w:t>zone</w:t>
      </w:r>
      <w:r w:rsidR="008C5E45">
        <w:t xml:space="preserve"> (</w:t>
      </w:r>
      <w:r w:rsidR="008C5E45">
        <w:fldChar w:fldCharType="begin"/>
      </w:r>
      <w:r w:rsidR="008C5E45">
        <w:instrText xml:space="preserve"> REF _Ref506193278 \h  \* MERGEFORMAT </w:instrText>
      </w:r>
      <w:r w:rsidR="008C5E45">
        <w:fldChar w:fldCharType="separate"/>
      </w:r>
      <w:r w:rsidR="00E96B43" w:rsidRPr="00E96B43">
        <w:t>Figure 1</w:t>
      </w:r>
      <w:r w:rsidR="008C5E45">
        <w:fldChar w:fldCharType="end"/>
      </w:r>
      <w:r w:rsidR="008C5E45">
        <w:t>)</w:t>
      </w:r>
      <w:r w:rsidRPr="00870CF6">
        <w:t xml:space="preserve">. </w:t>
      </w:r>
      <w:r w:rsidR="00306DB5">
        <w:t xml:space="preserve">Within the saturated zone, pores are filled with water, </w:t>
      </w:r>
      <w:r w:rsidR="007C23C2">
        <w:t>whereas</w:t>
      </w:r>
      <w:r w:rsidR="00306DB5">
        <w:t xml:space="preserve"> the capillary fringe and unsaturated zone</w:t>
      </w:r>
      <w:r w:rsidR="00026971">
        <w:t xml:space="preserve"> increasingly </w:t>
      </w:r>
      <w:r w:rsidR="007C23C2">
        <w:t xml:space="preserve">have pores </w:t>
      </w:r>
      <w:r w:rsidR="00E918A1">
        <w:t>containing</w:t>
      </w:r>
      <w:r w:rsidR="007C23C2">
        <w:t xml:space="preserve"> air </w:t>
      </w:r>
      <w:r w:rsidR="00E918A1">
        <w:t>as well as</w:t>
      </w:r>
      <w:r w:rsidR="007C23C2">
        <w:t xml:space="preserve"> water</w:t>
      </w:r>
      <w:r w:rsidR="00050D82">
        <w:t xml:space="preserve"> (</w:t>
      </w:r>
      <w:r w:rsidR="00050D82">
        <w:fldChar w:fldCharType="begin"/>
      </w:r>
      <w:r w:rsidR="00050D82">
        <w:instrText xml:space="preserve"> REF _Ref506193278 \h  \* MERGEFORMAT </w:instrText>
      </w:r>
      <w:r w:rsidR="00050D82">
        <w:fldChar w:fldCharType="separate"/>
      </w:r>
      <w:r w:rsidR="00E96B43" w:rsidRPr="00E96B43">
        <w:t>Figure 1</w:t>
      </w:r>
      <w:r w:rsidR="00050D82">
        <w:fldChar w:fldCharType="end"/>
      </w:r>
      <w:r w:rsidR="00050D82">
        <w:t>)</w:t>
      </w:r>
      <w:r w:rsidR="00306DB5">
        <w:t xml:space="preserve">. </w:t>
      </w:r>
      <w:r w:rsidRPr="00870CF6">
        <w:t xml:space="preserve">Water in caves </w:t>
      </w:r>
      <w:r w:rsidR="00351AA3">
        <w:t xml:space="preserve">that is sourced from groundwater </w:t>
      </w:r>
      <w:r w:rsidRPr="00870CF6">
        <w:t>is also included.</w:t>
      </w:r>
    </w:p>
    <w:p w14:paraId="31C8BB4E" w14:textId="77777777" w:rsidR="00CD6343" w:rsidRDefault="00CD6343" w:rsidP="00CD6343">
      <w:pPr>
        <w:pStyle w:val="BodyText"/>
        <w:jc w:val="center"/>
      </w:pPr>
      <w:r>
        <w:rPr>
          <w:noProof/>
        </w:rPr>
        <w:drawing>
          <wp:inline distT="0" distB="0" distL="0" distR="0" wp14:anchorId="31C8C2CE" wp14:editId="31C8C2CF">
            <wp:extent cx="3132636" cy="2823882"/>
            <wp:effectExtent l="19050" t="19050" r="10795" b="14605"/>
            <wp:docPr id="3" name="Picture 3" descr="Image result for capillary fringe and ground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pillary fringe and groundwate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56439" cy="2845339"/>
                    </a:xfrm>
                    <a:prstGeom prst="rect">
                      <a:avLst/>
                    </a:prstGeom>
                    <a:noFill/>
                    <a:ln>
                      <a:solidFill>
                        <a:schemeClr val="tx1">
                          <a:lumMod val="50000"/>
                          <a:lumOff val="50000"/>
                        </a:schemeClr>
                      </a:solidFill>
                    </a:ln>
                  </pic:spPr>
                </pic:pic>
              </a:graphicData>
            </a:graphic>
          </wp:inline>
        </w:drawing>
      </w:r>
    </w:p>
    <w:p w14:paraId="31C8BB4F" w14:textId="77777777" w:rsidR="00CD6343" w:rsidRPr="00F50E12" w:rsidRDefault="00CD6343" w:rsidP="00CD6343">
      <w:pPr>
        <w:pStyle w:val="Caption"/>
      </w:pPr>
      <w:bookmarkStart w:id="8" w:name="_Ref506193278"/>
      <w:bookmarkStart w:id="9" w:name="_Toc507621935"/>
      <w:bookmarkStart w:id="10" w:name="_Toc509991068"/>
      <w:r w:rsidRPr="008C5E45">
        <w:rPr>
          <w:rStyle w:val="normaltextrun"/>
          <w:rFonts w:asciiTheme="minorHAnsi" w:hAnsiTheme="minorHAnsi" w:cs="Arial"/>
        </w:rPr>
        <w:t xml:space="preserve">Figure </w:t>
      </w:r>
      <w:r w:rsidRPr="008C5E45">
        <w:rPr>
          <w:rStyle w:val="normaltextrun"/>
          <w:rFonts w:asciiTheme="minorHAnsi" w:hAnsiTheme="minorHAnsi" w:cs="Arial"/>
          <w:b/>
        </w:rPr>
        <w:fldChar w:fldCharType="begin"/>
      </w:r>
      <w:r w:rsidRPr="008C5E45">
        <w:rPr>
          <w:rStyle w:val="normaltextrun"/>
          <w:rFonts w:asciiTheme="minorHAnsi" w:hAnsiTheme="minorHAnsi" w:cs="Arial"/>
        </w:rPr>
        <w:instrText xml:space="preserve"> SEQ Figure \* ARABIC </w:instrText>
      </w:r>
      <w:r w:rsidRPr="008C5E45">
        <w:rPr>
          <w:rStyle w:val="normaltextrun"/>
          <w:rFonts w:asciiTheme="minorHAnsi" w:hAnsiTheme="minorHAnsi" w:cs="Arial"/>
          <w:b/>
        </w:rPr>
        <w:fldChar w:fldCharType="separate"/>
      </w:r>
      <w:r w:rsidR="00E96B43">
        <w:rPr>
          <w:rStyle w:val="normaltextrun"/>
          <w:rFonts w:asciiTheme="minorHAnsi" w:hAnsiTheme="minorHAnsi" w:cs="Arial"/>
          <w:noProof/>
        </w:rPr>
        <w:t>1</w:t>
      </w:r>
      <w:r w:rsidRPr="008C5E45">
        <w:rPr>
          <w:rStyle w:val="normaltextrun"/>
          <w:rFonts w:asciiTheme="minorHAnsi" w:hAnsiTheme="minorHAnsi" w:cs="Arial"/>
          <w:b/>
        </w:rPr>
        <w:fldChar w:fldCharType="end"/>
      </w:r>
      <w:bookmarkEnd w:id="8"/>
      <w:r>
        <w:rPr>
          <w:rStyle w:val="normaltextrun"/>
          <w:rFonts w:asciiTheme="minorHAnsi" w:hAnsiTheme="minorHAnsi" w:cs="Arial"/>
        </w:rPr>
        <w:t>. Conceptual model to define groundwater with respect to GDEs. SOURCE: Michigan State University (</w:t>
      </w:r>
      <w:hyperlink r:id="rId28" w:history="1">
        <w:r>
          <w:rPr>
            <w:rStyle w:val="Hyperlink"/>
            <w:rFonts w:asciiTheme="minorHAnsi" w:hAnsiTheme="minorHAnsi" w:cs="Arial"/>
          </w:rPr>
          <w:t>Image</w:t>
        </w:r>
      </w:hyperlink>
      <w:r>
        <w:rPr>
          <w:rStyle w:val="normaltextrun"/>
          <w:rFonts w:asciiTheme="minorHAnsi" w:hAnsiTheme="minorHAnsi" w:cs="Arial"/>
        </w:rPr>
        <w:t>)</w:t>
      </w:r>
      <w:bookmarkEnd w:id="9"/>
      <w:bookmarkEnd w:id="10"/>
    </w:p>
    <w:p w14:paraId="31C8BB50" w14:textId="77777777" w:rsidR="0017590B" w:rsidRDefault="00351AA3" w:rsidP="00351AA3">
      <w:pPr>
        <w:pStyle w:val="BodyText"/>
      </w:pPr>
      <w:r w:rsidRPr="00754DDF">
        <w:t>GDEs have groundwater</w:t>
      </w:r>
      <w:r w:rsidR="0040354E">
        <w:t>-</w:t>
      </w:r>
      <w:r w:rsidRPr="00754DDF">
        <w:t>related ecological water requirements</w:t>
      </w:r>
      <w:r>
        <w:t>, both in quantity and quality</w:t>
      </w:r>
      <w:r w:rsidR="00E4328D">
        <w:t xml:space="preserve"> (</w:t>
      </w:r>
      <w:proofErr w:type="spellStart"/>
      <w:r w:rsidR="000B47E0">
        <w:t>Boulton</w:t>
      </w:r>
      <w:proofErr w:type="spellEnd"/>
      <w:r w:rsidR="000B47E0">
        <w:t xml:space="preserve"> and Hancock, 2006; </w:t>
      </w:r>
      <w:proofErr w:type="spellStart"/>
      <w:r w:rsidR="000B47E0">
        <w:t>Eamus</w:t>
      </w:r>
      <w:proofErr w:type="spellEnd"/>
      <w:r w:rsidR="000B47E0">
        <w:t xml:space="preserve"> et al., 2006;</w:t>
      </w:r>
      <w:r w:rsidR="000B47E0" w:rsidRPr="000B47E0">
        <w:t xml:space="preserve"> </w:t>
      </w:r>
      <w:r w:rsidR="000B47E0">
        <w:t>Kath et al., 2014)</w:t>
      </w:r>
      <w:r w:rsidRPr="00754DDF">
        <w:t xml:space="preserve">. </w:t>
      </w:r>
      <w:r>
        <w:t>Quantity refers to aspects of the groundwater regime, including the volumes, pressures, timing and variability of groundwater supply that govern the</w:t>
      </w:r>
      <w:r w:rsidRPr="00754DDF">
        <w:t xml:space="preserve"> location, timing, frequency and duration of </w:t>
      </w:r>
      <w:r>
        <w:t xml:space="preserve">groundwater </w:t>
      </w:r>
      <w:r w:rsidRPr="00754DDF">
        <w:t xml:space="preserve">connection. </w:t>
      </w:r>
      <w:r>
        <w:t>Quality refers to physical and c</w:t>
      </w:r>
      <w:r w:rsidRPr="00754DDF">
        <w:t>hemical characteristics such as temperature and water quality (especially salini</w:t>
      </w:r>
      <w:r>
        <w:t>ty</w:t>
      </w:r>
      <w:r w:rsidR="00340DDE">
        <w:t xml:space="preserve"> and nutrient concentrations). </w:t>
      </w:r>
      <w:r>
        <w:t>When investigating and monitoring GDEs, it is essential to understand the underlying geology and related aquifer and flow systems, trends in groundwater level, spatial and temporal variability in GDE</w:t>
      </w:r>
      <w:r w:rsidR="00401329">
        <w:t xml:space="preserve"> </w:t>
      </w:r>
      <w:r>
        <w:t>groundwater connection, and ecosystem composition (e.g. vegetation types, stygofauna species). This is particularly important when GDEs are relying on perched or highly localised groundwater systems that may not be adequately considered in regional groundwater models, and where existing data is limited.</w:t>
      </w:r>
      <w:r w:rsidRPr="00351AA3">
        <w:t xml:space="preserve"> </w:t>
      </w:r>
    </w:p>
    <w:p w14:paraId="31C8BB51" w14:textId="77777777" w:rsidR="000808BE" w:rsidRPr="000808BE" w:rsidRDefault="000808BE" w:rsidP="000808BE">
      <w:pPr>
        <w:pStyle w:val="BodyText"/>
      </w:pPr>
      <w:r w:rsidRPr="000808BE">
        <w:t>Stygofauna include subterranean animals that live in groundwater systems and inhabit the interstitial spaces of sedimentary aquifers, the cavities of karstic aquifers, or the fissures of rock aquifers. The presence of stygofauna in an aquifer is often used as an indicator that the aquifer is an ecosystem. However, there are other organisms, such as bacteria or th</w:t>
      </w:r>
      <w:r>
        <w:t xml:space="preserve">e roots of </w:t>
      </w:r>
      <w:proofErr w:type="spellStart"/>
      <w:r>
        <w:t>phreatophytic</w:t>
      </w:r>
      <w:proofErr w:type="spellEnd"/>
      <w:r>
        <w:t xml:space="preserve"> </w:t>
      </w:r>
      <w:r w:rsidR="009F2DF2">
        <w:t>trees that</w:t>
      </w:r>
      <w:r w:rsidRPr="000808BE">
        <w:t xml:space="preserve"> use aquifers and thus define the aquifer as an ecosystem.</w:t>
      </w:r>
    </w:p>
    <w:p w14:paraId="31C8BB52" w14:textId="77777777" w:rsidR="000808BE" w:rsidRDefault="000808BE" w:rsidP="00351AA3">
      <w:pPr>
        <w:pStyle w:val="BodyText"/>
      </w:pPr>
    </w:p>
    <w:p w14:paraId="31C8BB53" w14:textId="77777777" w:rsidR="0040354E" w:rsidRDefault="00351AA3" w:rsidP="00960D6A">
      <w:pPr>
        <w:pStyle w:val="BodyText"/>
      </w:pPr>
      <w:r w:rsidRPr="00960D6A">
        <w:lastRenderedPageBreak/>
        <w:t>GDEs occur in coastal and inland regions (</w:t>
      </w:r>
      <w:r w:rsidRPr="00960D6A">
        <w:fldChar w:fldCharType="begin"/>
      </w:r>
      <w:r w:rsidRPr="00960D6A">
        <w:instrText xml:space="preserve"> REF _Ref506458469 \h  \* MERGEFORMAT </w:instrText>
      </w:r>
      <w:r w:rsidRPr="00960D6A">
        <w:fldChar w:fldCharType="separate"/>
      </w:r>
      <w:r w:rsidR="00E96B43" w:rsidRPr="00E96B43">
        <w:t>Figure 2</w:t>
      </w:r>
      <w:r w:rsidRPr="00960D6A">
        <w:fldChar w:fldCharType="end"/>
      </w:r>
      <w:r w:rsidRPr="00960D6A">
        <w:t>). In th</w:t>
      </w:r>
      <w:r w:rsidR="0040354E">
        <w:t>i</w:t>
      </w:r>
      <w:r w:rsidRPr="00960D6A">
        <w:t xml:space="preserve">s Note, GDEs are defined using a combination of typologies from Hatton and Evans (1998) and the GDE Toolbox (Richardson et al., 2011) and include: </w:t>
      </w:r>
    </w:p>
    <w:p w14:paraId="31C8BB54" w14:textId="77777777" w:rsidR="00AD31D2" w:rsidRPr="00960D6A" w:rsidRDefault="00AD31D2" w:rsidP="00AD31D2">
      <w:pPr>
        <w:pStyle w:val="BodyText"/>
        <w:numPr>
          <w:ilvl w:val="0"/>
          <w:numId w:val="32"/>
        </w:numPr>
      </w:pPr>
      <w:r w:rsidRPr="00960D6A">
        <w:t>Aquifer and cave ecosystems (</w:t>
      </w:r>
      <w:r w:rsidRPr="008E0234">
        <w:rPr>
          <w:b/>
        </w:rPr>
        <w:t>Subterranean GDE</w:t>
      </w:r>
      <w:r>
        <w:rPr>
          <w:b/>
        </w:rPr>
        <w:t>s</w:t>
      </w:r>
      <w:r w:rsidRPr="00960D6A">
        <w:t>) </w:t>
      </w:r>
    </w:p>
    <w:p w14:paraId="31C8BB55" w14:textId="77777777" w:rsidR="00AD31D2" w:rsidRDefault="00AD31D2" w:rsidP="008563FC">
      <w:pPr>
        <w:pStyle w:val="BodyText"/>
        <w:numPr>
          <w:ilvl w:val="1"/>
          <w:numId w:val="50"/>
        </w:numPr>
      </w:pPr>
      <w:r w:rsidRPr="00960D6A">
        <w:t xml:space="preserve">caves or aquifers </w:t>
      </w:r>
    </w:p>
    <w:p w14:paraId="31C8BB56" w14:textId="77777777" w:rsidR="00AD31D2" w:rsidRPr="00870CF6" w:rsidRDefault="00AD31D2" w:rsidP="00AD31D2">
      <w:pPr>
        <w:pStyle w:val="BodyText"/>
        <w:numPr>
          <w:ilvl w:val="0"/>
          <w:numId w:val="32"/>
        </w:numPr>
      </w:pPr>
      <w:r w:rsidRPr="00870CF6">
        <w:t>Ecosystems dependent on the surface expression of groundwater (</w:t>
      </w:r>
      <w:r w:rsidRPr="008E0234">
        <w:rPr>
          <w:b/>
        </w:rPr>
        <w:t>Aquatic GDE</w:t>
      </w:r>
      <w:r>
        <w:rPr>
          <w:b/>
        </w:rPr>
        <w:t>s</w:t>
      </w:r>
      <w:r w:rsidRPr="00870CF6">
        <w:t>)</w:t>
      </w:r>
    </w:p>
    <w:p w14:paraId="31C8BB57" w14:textId="77777777" w:rsidR="00AD31D2" w:rsidRPr="00870CF6" w:rsidRDefault="00AD31D2" w:rsidP="008C5F19">
      <w:pPr>
        <w:pStyle w:val="BodyText"/>
        <w:numPr>
          <w:ilvl w:val="1"/>
          <w:numId w:val="45"/>
        </w:numPr>
      </w:pPr>
      <w:r w:rsidRPr="00870CF6">
        <w:t>River-base flow systems – aquatic and riparian ecosystems that exist in or adjacent to streams</w:t>
      </w:r>
      <w:r>
        <w:t xml:space="preserve"> (including the </w:t>
      </w:r>
      <w:proofErr w:type="spellStart"/>
      <w:r>
        <w:t>hyporheic</w:t>
      </w:r>
      <w:proofErr w:type="spellEnd"/>
      <w:r>
        <w:t xml:space="preserve"> zone)</w:t>
      </w:r>
      <w:r w:rsidRPr="00870CF6">
        <w:t xml:space="preserve"> fed by groundwater</w:t>
      </w:r>
    </w:p>
    <w:p w14:paraId="31C8BB58" w14:textId="77777777" w:rsidR="00AD31D2" w:rsidRDefault="00AD31D2" w:rsidP="008C5F19">
      <w:pPr>
        <w:pStyle w:val="BodyText"/>
        <w:numPr>
          <w:ilvl w:val="1"/>
          <w:numId w:val="45"/>
        </w:numPr>
      </w:pPr>
      <w:r w:rsidRPr="00870CF6">
        <w:t>Wetlands – aquatic communities and fringing vegetation dependent on groundwater</w:t>
      </w:r>
      <w:r>
        <w:t>-</w:t>
      </w:r>
      <w:r w:rsidRPr="00870CF6">
        <w:t>fed lakes and wetlands.</w:t>
      </w:r>
      <w:r>
        <w:t xml:space="preserve"> These include palustrine, lacustrine and riverine wetlands that receive groundwater discharge and can include some spring ecosystems</w:t>
      </w:r>
      <w:r w:rsidRPr="00E56779">
        <w:t xml:space="preserve"> </w:t>
      </w:r>
    </w:p>
    <w:p w14:paraId="31C8BB59" w14:textId="77777777" w:rsidR="00AD31D2" w:rsidRPr="00E56779" w:rsidRDefault="00AD31D2" w:rsidP="008C5F19">
      <w:pPr>
        <w:pStyle w:val="BodyText"/>
        <w:numPr>
          <w:ilvl w:val="1"/>
          <w:numId w:val="45"/>
        </w:numPr>
      </w:pPr>
      <w:r>
        <w:t xml:space="preserve">Ecosystems which rely on submarine discharge of groundwater for its nutrients and/or </w:t>
      </w:r>
      <w:proofErr w:type="spellStart"/>
      <w:r>
        <w:t>physico</w:t>
      </w:r>
      <w:proofErr w:type="spellEnd"/>
      <w:r>
        <w:t>-chemical attributes</w:t>
      </w:r>
    </w:p>
    <w:p w14:paraId="31C8BB5A" w14:textId="77777777" w:rsidR="00AD31D2" w:rsidRPr="00870CF6" w:rsidRDefault="00AD31D2" w:rsidP="008C5F19">
      <w:pPr>
        <w:pStyle w:val="BodyText"/>
        <w:numPr>
          <w:ilvl w:val="0"/>
          <w:numId w:val="46"/>
        </w:numPr>
      </w:pPr>
      <w:r w:rsidRPr="00870CF6">
        <w:t>Ecosystems dependent on the subsurface expression of groundwater (</w:t>
      </w:r>
      <w:r w:rsidRPr="008E0234">
        <w:rPr>
          <w:b/>
        </w:rPr>
        <w:t>Terrestrial GDE</w:t>
      </w:r>
      <w:r>
        <w:rPr>
          <w:b/>
        </w:rPr>
        <w:t>s</w:t>
      </w:r>
      <w:r w:rsidRPr="00870CF6">
        <w:t>)</w:t>
      </w:r>
      <w:r w:rsidR="00F9609B">
        <w:t>.</w:t>
      </w:r>
    </w:p>
    <w:p w14:paraId="31C8BB5B" w14:textId="77777777" w:rsidR="003C2316" w:rsidRDefault="003E539D" w:rsidP="00F50E12">
      <w:pPr>
        <w:pStyle w:val="BodyText"/>
      </w:pPr>
      <w:r w:rsidRPr="00CF110A">
        <w:t>T</w:t>
      </w:r>
      <w:r w:rsidR="00351AA3">
        <w:t>he t</w:t>
      </w:r>
      <w:r w:rsidRPr="00CF110A">
        <w:t>erm</w:t>
      </w:r>
      <w:r w:rsidR="00351AA3">
        <w:t>s</w:t>
      </w:r>
      <w:r w:rsidRPr="00CF110A">
        <w:t xml:space="preserve"> </w:t>
      </w:r>
      <w:r w:rsidR="00B819EF">
        <w:t>‘</w:t>
      </w:r>
      <w:r w:rsidR="00CF110A" w:rsidRPr="00CF110A">
        <w:t>Subterranean</w:t>
      </w:r>
      <w:r w:rsidR="00B819EF">
        <w:t>’</w:t>
      </w:r>
      <w:r w:rsidR="00CF110A" w:rsidRPr="00CF110A">
        <w:t xml:space="preserve">, </w:t>
      </w:r>
      <w:r w:rsidR="00B819EF">
        <w:t>‘</w:t>
      </w:r>
      <w:r w:rsidR="00CF110A" w:rsidRPr="00CF110A">
        <w:t>Aquatic</w:t>
      </w:r>
      <w:r w:rsidR="00B819EF">
        <w:t>’</w:t>
      </w:r>
      <w:r w:rsidR="00CF110A" w:rsidRPr="00CF110A">
        <w:t xml:space="preserve"> and </w:t>
      </w:r>
      <w:r w:rsidR="00B819EF">
        <w:t>‘</w:t>
      </w:r>
      <w:r w:rsidR="00CF110A" w:rsidRPr="00CF110A">
        <w:t>Terrestrial</w:t>
      </w:r>
      <w:r w:rsidR="00B819EF">
        <w:t>’</w:t>
      </w:r>
      <w:r w:rsidR="00CF110A" w:rsidRPr="00CF110A">
        <w:t xml:space="preserve"> GDEs </w:t>
      </w:r>
      <w:r w:rsidR="00351AA3">
        <w:t>are</w:t>
      </w:r>
      <w:r w:rsidR="00CF110A" w:rsidRPr="00CF110A">
        <w:t xml:space="preserve"> </w:t>
      </w:r>
      <w:r w:rsidR="00E56779">
        <w:t>consistent</w:t>
      </w:r>
      <w:r w:rsidR="00CF110A" w:rsidRPr="00CF110A">
        <w:t xml:space="preserve"> with </w:t>
      </w:r>
      <w:r w:rsidR="00CF110A">
        <w:t>the classification</w:t>
      </w:r>
      <w:r w:rsidR="00351AA3">
        <w:t xml:space="preserve"> system used </w:t>
      </w:r>
      <w:r w:rsidR="00CF110A">
        <w:t xml:space="preserve">in </w:t>
      </w:r>
      <w:r w:rsidR="00F76F8A">
        <w:t>t</w:t>
      </w:r>
      <w:r w:rsidR="00CF110A">
        <w:t xml:space="preserve">he </w:t>
      </w:r>
      <w:r w:rsidR="00351AA3">
        <w:t>Groundwa</w:t>
      </w:r>
      <w:r w:rsidR="008E0234">
        <w:t>ter</w:t>
      </w:r>
      <w:r w:rsidR="00F76F8A">
        <w:t>-D</w:t>
      </w:r>
      <w:r w:rsidR="00351AA3">
        <w:t>ependent</w:t>
      </w:r>
      <w:r w:rsidR="00CF110A">
        <w:t xml:space="preserve"> Ecosystem Atlas (GDE Atlas)</w:t>
      </w:r>
      <w:r w:rsidR="00E56779">
        <w:t>, where the</w:t>
      </w:r>
      <w:r w:rsidR="00351AA3">
        <w:t>se GDE types</w:t>
      </w:r>
      <w:r w:rsidR="00E56779">
        <w:t xml:space="preserve"> are discussed in greater detail</w:t>
      </w:r>
      <w:r w:rsidR="00351AA3">
        <w:t xml:space="preserve"> (</w:t>
      </w:r>
      <w:hyperlink r:id="rId29" w:history="1">
        <w:r w:rsidR="00035F86">
          <w:rPr>
            <w:rStyle w:val="Hyperlink"/>
          </w:rPr>
          <w:t>GDE Atlas</w:t>
        </w:r>
      </w:hyperlink>
      <w:r w:rsidR="00351AA3">
        <w:t>)</w:t>
      </w:r>
      <w:r w:rsidR="00CF110A">
        <w:t>.</w:t>
      </w:r>
      <w:r w:rsidR="00E56779" w:rsidRPr="00E56779">
        <w:t xml:space="preserve"> </w:t>
      </w:r>
    </w:p>
    <w:p w14:paraId="31C8BB5C" w14:textId="77777777" w:rsidR="00DF4CEE" w:rsidRDefault="00E56779" w:rsidP="00754DDF">
      <w:pPr>
        <w:pStyle w:val="BodyText"/>
        <w:rPr>
          <w:rStyle w:val="normaltextrun"/>
          <w:rFonts w:asciiTheme="minorHAnsi" w:hAnsiTheme="minorHAnsi" w:cs="Arial"/>
          <w:color w:val="auto"/>
        </w:rPr>
      </w:pPr>
      <w:r w:rsidRPr="008C7F81">
        <w:t xml:space="preserve">For in-depth tutorials </w:t>
      </w:r>
      <w:r w:rsidR="00063AC0">
        <w:t xml:space="preserve">on </w:t>
      </w:r>
      <w:r w:rsidRPr="008C7F81">
        <w:t>GDEs and wetlands, refer to the Queensland Government education modules (</w:t>
      </w:r>
      <w:proofErr w:type="spellStart"/>
      <w:r w:rsidR="00085933">
        <w:fldChar w:fldCharType="begin"/>
      </w:r>
      <w:r w:rsidR="00085933">
        <w:instrText xml:space="preserve"> HYPERLINK "https://wetlandinfo.ehp.</w:instrText>
      </w:r>
      <w:r w:rsidR="00085933">
        <w:instrText xml:space="preserve">qld.gov.au/wetlands/resources/training/15-gde-ecology/" </w:instrText>
      </w:r>
      <w:r w:rsidR="00085933">
        <w:fldChar w:fldCharType="separate"/>
      </w:r>
      <w:r w:rsidR="00084275">
        <w:rPr>
          <w:rStyle w:val="Hyperlink"/>
        </w:rPr>
        <w:t>WetlandInfo</w:t>
      </w:r>
      <w:proofErr w:type="spellEnd"/>
      <w:r w:rsidR="00085933">
        <w:rPr>
          <w:rStyle w:val="Hyperlink"/>
        </w:rPr>
        <w:fldChar w:fldCharType="end"/>
      </w:r>
      <w:r w:rsidRPr="008C7F81">
        <w:t>).</w:t>
      </w:r>
      <w:r w:rsidR="006A37BC">
        <w:t xml:space="preserve"> </w:t>
      </w:r>
      <w:r w:rsidR="00063AC0">
        <w:t xml:space="preserve">These provide details on the different types of GDEs, their value, and how they function. </w:t>
      </w:r>
      <w:r w:rsidR="007C5826" w:rsidRPr="007C5826">
        <w:rPr>
          <w:rStyle w:val="normaltextrun"/>
          <w:rFonts w:asciiTheme="minorHAnsi" w:hAnsiTheme="minorHAnsi" w:cs="Arial"/>
          <w:color w:val="auto"/>
        </w:rPr>
        <w:t>GDE types and importance of GDEs</w:t>
      </w:r>
      <w:r w:rsidR="00F76F8A">
        <w:rPr>
          <w:rStyle w:val="normaltextrun"/>
          <w:rFonts w:asciiTheme="minorHAnsi" w:hAnsiTheme="minorHAnsi" w:cs="Arial"/>
          <w:color w:val="auto"/>
        </w:rPr>
        <w:t xml:space="preserve"> are described in</w:t>
      </w:r>
      <w:r w:rsidR="007C5826" w:rsidRPr="007C5826">
        <w:rPr>
          <w:rStyle w:val="normaltextrun"/>
          <w:rFonts w:asciiTheme="minorHAnsi" w:hAnsiTheme="minorHAnsi" w:cs="Arial"/>
          <w:color w:val="auto"/>
        </w:rPr>
        <w:t xml:space="preserve"> </w:t>
      </w:r>
      <w:hyperlink r:id="rId30" w:anchor="palustrine-wetland-gde" w:history="1">
        <w:proofErr w:type="spellStart"/>
        <w:r w:rsidR="00084275">
          <w:rPr>
            <w:rStyle w:val="Hyperlink"/>
            <w:rFonts w:asciiTheme="minorHAnsi" w:hAnsiTheme="minorHAnsi" w:cs="Arial"/>
          </w:rPr>
          <w:t>WetlandInfo</w:t>
        </w:r>
        <w:proofErr w:type="spellEnd"/>
      </w:hyperlink>
      <w:r w:rsidR="007C5826" w:rsidRPr="00754DDF">
        <w:rPr>
          <w:rStyle w:val="normaltextrun"/>
          <w:rFonts w:asciiTheme="minorHAnsi" w:hAnsiTheme="minorHAnsi" w:cs="Arial"/>
          <w:color w:val="auto"/>
        </w:rPr>
        <w:t>.</w:t>
      </w:r>
      <w:r w:rsidR="003C2316" w:rsidRPr="00754DDF">
        <w:rPr>
          <w:rStyle w:val="normaltextrun"/>
          <w:rFonts w:asciiTheme="minorHAnsi" w:hAnsiTheme="minorHAnsi" w:cs="Arial"/>
          <w:color w:val="auto"/>
        </w:rPr>
        <w:t xml:space="preserve"> Refer to</w:t>
      </w:r>
      <w:r w:rsidR="00063AC0">
        <w:rPr>
          <w:rStyle w:val="normaltextrun"/>
          <w:rFonts w:asciiTheme="minorHAnsi" w:hAnsiTheme="minorHAnsi" w:cs="Arial"/>
          <w:color w:val="auto"/>
        </w:rPr>
        <w:t xml:space="preserve"> the</w:t>
      </w:r>
      <w:r w:rsidR="00084275">
        <w:rPr>
          <w:rStyle w:val="normaltextrun"/>
          <w:rFonts w:asciiTheme="minorHAnsi" w:hAnsiTheme="minorHAnsi" w:cs="Arial"/>
          <w:color w:val="auto"/>
        </w:rPr>
        <w:t xml:space="preserve"> </w:t>
      </w:r>
      <w:hyperlink r:id="rId31" w:history="1">
        <w:r w:rsidR="00084275">
          <w:rPr>
            <w:rStyle w:val="Hyperlink"/>
            <w:rFonts w:asciiTheme="minorHAnsi" w:hAnsiTheme="minorHAnsi" w:cs="Arial"/>
          </w:rPr>
          <w:t>GDE Toolbox Pt1</w:t>
        </w:r>
      </w:hyperlink>
      <w:r w:rsidR="00852871">
        <w:rPr>
          <w:rStyle w:val="Hyperlink"/>
          <w:rFonts w:asciiTheme="minorHAnsi" w:hAnsiTheme="minorHAnsi" w:cs="Arial"/>
        </w:rPr>
        <w:t xml:space="preserve"> </w:t>
      </w:r>
      <w:r w:rsidR="003C2316" w:rsidRPr="00754DDF">
        <w:rPr>
          <w:rStyle w:val="normaltextrun"/>
          <w:rFonts w:asciiTheme="minorHAnsi" w:hAnsiTheme="minorHAnsi" w:cs="Arial"/>
          <w:color w:val="auto"/>
        </w:rPr>
        <w:t>for detailed description</w:t>
      </w:r>
      <w:r w:rsidR="00F76F8A">
        <w:rPr>
          <w:rStyle w:val="normaltextrun"/>
          <w:rFonts w:asciiTheme="minorHAnsi" w:hAnsiTheme="minorHAnsi" w:cs="Arial"/>
          <w:color w:val="auto"/>
        </w:rPr>
        <w:t>s</w:t>
      </w:r>
      <w:r w:rsidR="003C2316" w:rsidRPr="00754DDF">
        <w:rPr>
          <w:rStyle w:val="normaltextrun"/>
          <w:rFonts w:asciiTheme="minorHAnsi" w:hAnsiTheme="minorHAnsi" w:cs="Arial"/>
          <w:color w:val="auto"/>
        </w:rPr>
        <w:t xml:space="preserve"> </w:t>
      </w:r>
      <w:r w:rsidR="00050D82">
        <w:rPr>
          <w:rStyle w:val="normaltextrun"/>
          <w:rFonts w:asciiTheme="minorHAnsi" w:hAnsiTheme="minorHAnsi" w:cs="Arial"/>
          <w:color w:val="auto"/>
        </w:rPr>
        <w:t>of GDE type</w:t>
      </w:r>
      <w:r w:rsidR="00F76F8A">
        <w:rPr>
          <w:rStyle w:val="normaltextrun"/>
          <w:rFonts w:asciiTheme="minorHAnsi" w:hAnsiTheme="minorHAnsi" w:cs="Arial"/>
          <w:color w:val="auto"/>
        </w:rPr>
        <w:t>s</w:t>
      </w:r>
      <w:r w:rsidR="00050D82">
        <w:rPr>
          <w:rStyle w:val="normaltextrun"/>
          <w:rFonts w:asciiTheme="minorHAnsi" w:hAnsiTheme="minorHAnsi" w:cs="Arial"/>
          <w:color w:val="auto"/>
        </w:rPr>
        <w:t xml:space="preserve"> </w:t>
      </w:r>
      <w:r w:rsidR="003C2316" w:rsidRPr="00754DDF">
        <w:rPr>
          <w:rStyle w:val="normaltextrun"/>
          <w:rFonts w:asciiTheme="minorHAnsi" w:hAnsiTheme="minorHAnsi" w:cs="Arial"/>
          <w:color w:val="auto"/>
        </w:rPr>
        <w:t>and case studies</w:t>
      </w:r>
      <w:r w:rsidR="00050D82">
        <w:rPr>
          <w:rStyle w:val="normaltextrun"/>
          <w:rFonts w:asciiTheme="minorHAnsi" w:hAnsiTheme="minorHAnsi" w:cs="Arial"/>
          <w:color w:val="auto"/>
        </w:rPr>
        <w:t xml:space="preserve"> to demonstrate groundwater dependence within each typ</w:t>
      </w:r>
      <w:r w:rsidR="00063AC0">
        <w:rPr>
          <w:rStyle w:val="normaltextrun"/>
          <w:rFonts w:asciiTheme="minorHAnsi" w:hAnsiTheme="minorHAnsi" w:cs="Arial"/>
          <w:color w:val="auto"/>
        </w:rPr>
        <w:t>e</w:t>
      </w:r>
      <w:r w:rsidR="00754DDF">
        <w:rPr>
          <w:rStyle w:val="normaltextrun"/>
          <w:rFonts w:asciiTheme="minorHAnsi" w:hAnsiTheme="minorHAnsi" w:cs="Arial"/>
          <w:color w:val="auto"/>
        </w:rPr>
        <w:t>.</w:t>
      </w:r>
    </w:p>
    <w:p w14:paraId="31C8BB5D" w14:textId="77777777" w:rsidR="00B72B47" w:rsidRDefault="00B72B47" w:rsidP="00B72B47">
      <w:pPr>
        <w:pStyle w:val="BodyText"/>
        <w:jc w:val="center"/>
        <w:rPr>
          <w:rStyle w:val="normaltextrun"/>
          <w:rFonts w:asciiTheme="minorHAnsi" w:hAnsiTheme="minorHAnsi" w:cs="Arial"/>
          <w:color w:val="auto"/>
        </w:rPr>
      </w:pPr>
      <w:r>
        <w:rPr>
          <w:rFonts w:asciiTheme="minorHAnsi" w:hAnsiTheme="minorHAnsi" w:cs="Arial"/>
          <w:noProof/>
          <w:color w:val="auto"/>
        </w:rPr>
        <w:drawing>
          <wp:inline distT="0" distB="0" distL="0" distR="0" wp14:anchorId="31C8C2D0" wp14:editId="31C8C2D1">
            <wp:extent cx="6091615" cy="1986107"/>
            <wp:effectExtent l="0" t="0" r="4445" b="0"/>
            <wp:docPr id="61466" name="Picture 6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6" name="Slide2.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092147" cy="1986280"/>
                    </a:xfrm>
                    <a:prstGeom prst="rect">
                      <a:avLst/>
                    </a:prstGeom>
                    <a:ln>
                      <a:noFill/>
                    </a:ln>
                    <a:extLst>
                      <a:ext uri="{53640926-AAD7-44D8-BBD7-CCE9431645EC}">
                        <a14:shadowObscured xmlns:a14="http://schemas.microsoft.com/office/drawing/2010/main"/>
                      </a:ext>
                    </a:extLst>
                  </pic:spPr>
                </pic:pic>
              </a:graphicData>
            </a:graphic>
          </wp:inline>
        </w:drawing>
      </w:r>
    </w:p>
    <w:p w14:paraId="31C8BB5E" w14:textId="77777777" w:rsidR="00DF4CEE" w:rsidRDefault="00DF4CEE" w:rsidP="004047FF">
      <w:pPr>
        <w:pStyle w:val="BodyText"/>
        <w:jc w:val="center"/>
      </w:pPr>
    </w:p>
    <w:p w14:paraId="31C8BB5F" w14:textId="77777777" w:rsidR="00870CF6" w:rsidRDefault="00CF110A" w:rsidP="00CF110A">
      <w:pPr>
        <w:pStyle w:val="Caption"/>
        <w:rPr>
          <w:rStyle w:val="normaltextrun"/>
          <w:rFonts w:asciiTheme="minorHAnsi" w:hAnsiTheme="minorHAnsi" w:cs="Arial"/>
        </w:rPr>
      </w:pPr>
      <w:bookmarkStart w:id="11" w:name="_Ref506458469"/>
      <w:bookmarkStart w:id="12" w:name="_Toc507621936"/>
      <w:bookmarkStart w:id="13" w:name="_Toc509991069"/>
      <w:r w:rsidRPr="00B819EF">
        <w:rPr>
          <w:rStyle w:val="normaltextrun"/>
          <w:rFonts w:asciiTheme="minorHAnsi" w:hAnsiTheme="minorHAnsi" w:cs="Arial"/>
        </w:rPr>
        <w:t xml:space="preserve">Figure </w:t>
      </w:r>
      <w:r w:rsidRPr="00B819EF">
        <w:rPr>
          <w:rStyle w:val="normaltextrun"/>
          <w:rFonts w:asciiTheme="minorHAnsi" w:hAnsiTheme="minorHAnsi" w:cs="Arial"/>
          <w:b/>
        </w:rPr>
        <w:fldChar w:fldCharType="begin"/>
      </w:r>
      <w:r w:rsidRPr="00B819EF">
        <w:rPr>
          <w:rStyle w:val="normaltextrun"/>
          <w:rFonts w:asciiTheme="minorHAnsi" w:hAnsiTheme="minorHAnsi" w:cs="Arial"/>
        </w:rPr>
        <w:instrText xml:space="preserve"> SEQ Figure \* ARABIC </w:instrText>
      </w:r>
      <w:r w:rsidRPr="00B819EF">
        <w:rPr>
          <w:rStyle w:val="normaltextrun"/>
          <w:rFonts w:asciiTheme="minorHAnsi" w:hAnsiTheme="minorHAnsi" w:cs="Arial"/>
          <w:b/>
        </w:rPr>
        <w:fldChar w:fldCharType="separate"/>
      </w:r>
      <w:r w:rsidR="00E96B43">
        <w:rPr>
          <w:rStyle w:val="normaltextrun"/>
          <w:rFonts w:asciiTheme="minorHAnsi" w:hAnsiTheme="minorHAnsi" w:cs="Arial"/>
          <w:noProof/>
        </w:rPr>
        <w:t>2</w:t>
      </w:r>
      <w:r w:rsidRPr="00B819EF">
        <w:rPr>
          <w:rStyle w:val="normaltextrun"/>
          <w:rFonts w:asciiTheme="minorHAnsi" w:hAnsiTheme="minorHAnsi" w:cs="Arial"/>
          <w:b/>
        </w:rPr>
        <w:fldChar w:fldCharType="end"/>
      </w:r>
      <w:bookmarkEnd w:id="11"/>
      <w:r w:rsidR="00B32FD9">
        <w:rPr>
          <w:rStyle w:val="normaltextrun"/>
          <w:rFonts w:asciiTheme="minorHAnsi" w:hAnsiTheme="minorHAnsi" w:cs="Arial"/>
        </w:rPr>
        <w:t>. Illustration of GDE typology</w:t>
      </w:r>
      <w:r w:rsidR="00E926F1">
        <w:rPr>
          <w:rStyle w:val="normaltextrun"/>
          <w:rFonts w:asciiTheme="minorHAnsi" w:hAnsiTheme="minorHAnsi" w:cs="Arial"/>
        </w:rPr>
        <w:t xml:space="preserve"> </w:t>
      </w:r>
      <w:r w:rsidR="00063AC0">
        <w:rPr>
          <w:rStyle w:val="normaltextrun"/>
          <w:rFonts w:asciiTheme="minorHAnsi" w:hAnsiTheme="minorHAnsi" w:cs="Arial"/>
        </w:rPr>
        <w:t>described above in section 2.1</w:t>
      </w:r>
      <w:r w:rsidR="00E926F1">
        <w:rPr>
          <w:rStyle w:val="normaltextrun"/>
          <w:rFonts w:asciiTheme="minorHAnsi" w:hAnsiTheme="minorHAnsi" w:cs="Arial"/>
        </w:rPr>
        <w:t xml:space="preserve">. </w:t>
      </w:r>
      <w:r w:rsidR="00306DB5">
        <w:rPr>
          <w:rStyle w:val="normaltextrun"/>
          <w:rFonts w:asciiTheme="minorHAnsi" w:hAnsiTheme="minorHAnsi" w:cs="Arial"/>
        </w:rPr>
        <w:t>SOURCE: Wetland Info (</w:t>
      </w:r>
      <w:hyperlink r:id="rId33" w:history="1">
        <w:r w:rsidR="00306DB5" w:rsidRPr="003E7D61">
          <w:rPr>
            <w:rStyle w:val="Hyperlink"/>
            <w:rFonts w:asciiTheme="minorHAnsi" w:hAnsiTheme="minorHAnsi" w:cs="Arial"/>
          </w:rPr>
          <w:t>https://wetlandinfo.ehp.qld.gov.au</w:t>
        </w:r>
      </w:hyperlink>
      <w:r w:rsidR="00306DB5">
        <w:rPr>
          <w:rStyle w:val="normaltextrun"/>
          <w:rFonts w:asciiTheme="minorHAnsi" w:hAnsiTheme="minorHAnsi" w:cs="Arial"/>
        </w:rPr>
        <w:t>)</w:t>
      </w:r>
      <w:bookmarkEnd w:id="12"/>
      <w:bookmarkEnd w:id="13"/>
      <w:r w:rsidR="008C7F81">
        <w:rPr>
          <w:rStyle w:val="normaltextrun"/>
          <w:rFonts w:asciiTheme="minorHAnsi" w:hAnsiTheme="minorHAnsi" w:cs="Arial"/>
        </w:rPr>
        <w:t xml:space="preserve"> </w:t>
      </w:r>
    </w:p>
    <w:p w14:paraId="31C8BB60" w14:textId="77777777" w:rsidR="00705472" w:rsidRDefault="00705472" w:rsidP="00705472">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t xml:space="preserve">RECOMMENDATION: A number of </w:t>
      </w:r>
      <w:r w:rsidR="00F76F8A">
        <w:t xml:space="preserve">helpful </w:t>
      </w:r>
      <w:r>
        <w:t>publications are mentioned throughout th</w:t>
      </w:r>
      <w:r w:rsidR="00F76F8A">
        <w:t>is</w:t>
      </w:r>
      <w:r>
        <w:t xml:space="preserve"> Explanatory Note</w:t>
      </w:r>
      <w:r w:rsidR="00F9609B">
        <w:t xml:space="preserve"> to aid proponents</w:t>
      </w:r>
      <w:r>
        <w:t xml:space="preserve">. Where possible, hyperlinks </w:t>
      </w:r>
      <w:r w:rsidR="00F76F8A">
        <w:t xml:space="preserve">are given </w:t>
      </w:r>
      <w:r>
        <w:t xml:space="preserve">to </w:t>
      </w:r>
      <w:r w:rsidR="00F76F8A">
        <w:t xml:space="preserve">open-access </w:t>
      </w:r>
      <w:r>
        <w:t>reports and relevant websites</w:t>
      </w:r>
      <w:r w:rsidR="00F76F8A">
        <w:t>. H</w:t>
      </w:r>
      <w:r>
        <w:t>owever</w:t>
      </w:r>
      <w:r w:rsidR="00F76F8A">
        <w:t xml:space="preserve">, some references </w:t>
      </w:r>
      <w:r w:rsidR="004C54CC">
        <w:t>include scientific</w:t>
      </w:r>
      <w:r>
        <w:t xml:space="preserve"> journal papers </w:t>
      </w:r>
      <w:r w:rsidR="00F76F8A">
        <w:t xml:space="preserve">that may need </w:t>
      </w:r>
      <w:r>
        <w:t xml:space="preserve">to be purchased </w:t>
      </w:r>
      <w:r w:rsidR="00F76F8A">
        <w:t>as</w:t>
      </w:r>
      <w:r>
        <w:t xml:space="preserve"> a low, one-off cost.</w:t>
      </w:r>
    </w:p>
    <w:p w14:paraId="31C8BB61" w14:textId="77777777" w:rsidR="00351AA3" w:rsidRDefault="00351AA3" w:rsidP="00BF28A4">
      <w:pPr>
        <w:pStyle w:val="Heading2"/>
      </w:pPr>
      <w:bookmarkStart w:id="14" w:name="_Ref508972113"/>
      <w:bookmarkStart w:id="15" w:name="_Toc509996457"/>
      <w:r>
        <w:t>GDE values and ecosystem services</w:t>
      </w:r>
      <w:bookmarkEnd w:id="14"/>
      <w:bookmarkEnd w:id="15"/>
    </w:p>
    <w:p w14:paraId="31C8BB62" w14:textId="77777777" w:rsidR="00683396" w:rsidRDefault="00683396" w:rsidP="00683396">
      <w:pPr>
        <w:pStyle w:val="BodyText"/>
        <w:rPr>
          <w:color w:val="auto"/>
        </w:rPr>
      </w:pPr>
      <w:r>
        <w:rPr>
          <w:color w:val="auto"/>
        </w:rPr>
        <w:t xml:space="preserve">With respect to GDEs, the term </w:t>
      </w:r>
      <w:r w:rsidR="004F2301">
        <w:rPr>
          <w:color w:val="auto"/>
        </w:rPr>
        <w:t>‘</w:t>
      </w:r>
      <w:r>
        <w:rPr>
          <w:color w:val="auto"/>
        </w:rPr>
        <w:t>ecosystem value</w:t>
      </w:r>
      <w:r w:rsidR="004F2301">
        <w:rPr>
          <w:color w:val="auto"/>
        </w:rPr>
        <w:t>’</w:t>
      </w:r>
      <w:r>
        <w:rPr>
          <w:color w:val="auto"/>
        </w:rPr>
        <w:t xml:space="preserve"> has been used in the literature to mean two distinctly different things: </w:t>
      </w:r>
      <w:proofErr w:type="spellStart"/>
      <w:r w:rsidR="00F9609B">
        <w:rPr>
          <w:color w:val="auto"/>
        </w:rPr>
        <w:t>i</w:t>
      </w:r>
      <w:proofErr w:type="spellEnd"/>
      <w:r>
        <w:rPr>
          <w:color w:val="auto"/>
        </w:rPr>
        <w:t xml:space="preserve">) </w:t>
      </w:r>
      <w:r w:rsidRPr="004840CB">
        <w:rPr>
          <w:i/>
          <w:color w:val="auto"/>
        </w:rPr>
        <w:t>the natural ecological processes occurring within ecosystems and the biodiversity of these systems</w:t>
      </w:r>
      <w:r>
        <w:rPr>
          <w:color w:val="auto"/>
        </w:rPr>
        <w:t xml:space="preserve"> (</w:t>
      </w:r>
      <w:r w:rsidR="001A0109">
        <w:t>Richardson et al., 2011</w:t>
      </w:r>
      <w:r>
        <w:rPr>
          <w:color w:val="auto"/>
        </w:rPr>
        <w:t xml:space="preserve">), and </w:t>
      </w:r>
      <w:r w:rsidR="00F9609B">
        <w:rPr>
          <w:color w:val="auto"/>
        </w:rPr>
        <w:t>ii</w:t>
      </w:r>
      <w:r>
        <w:rPr>
          <w:color w:val="auto"/>
        </w:rPr>
        <w:t xml:space="preserve">) </w:t>
      </w:r>
      <w:r w:rsidRPr="001A0109">
        <w:rPr>
          <w:i/>
          <w:color w:val="auto"/>
        </w:rPr>
        <w:t>the worth of the ecosystem so that it can be compared to other ecosystems and prioritised for conservation</w:t>
      </w:r>
      <w:r>
        <w:rPr>
          <w:color w:val="auto"/>
        </w:rPr>
        <w:t xml:space="preserve"> (Serov et al., 2012).</w:t>
      </w:r>
      <w:r w:rsidR="00922EBB" w:rsidRPr="00922EBB">
        <w:rPr>
          <w:color w:val="auto"/>
        </w:rPr>
        <w:t xml:space="preserve"> </w:t>
      </w:r>
      <w:r w:rsidR="00F76F8A">
        <w:rPr>
          <w:color w:val="auto"/>
        </w:rPr>
        <w:t xml:space="preserve">The second definition is the more appropriate one because it expresses the </w:t>
      </w:r>
      <w:r w:rsidR="00F76F8A" w:rsidRPr="004C54CC">
        <w:rPr>
          <w:i/>
          <w:color w:val="auto"/>
        </w:rPr>
        <w:t>value</w:t>
      </w:r>
      <w:r w:rsidR="00F76F8A">
        <w:rPr>
          <w:color w:val="auto"/>
        </w:rPr>
        <w:t xml:space="preserve"> of the biodiversity and ecological processes that underpin the provision of ecosystem services by </w:t>
      </w:r>
      <w:r w:rsidR="00F76F8A">
        <w:rPr>
          <w:color w:val="auto"/>
        </w:rPr>
        <w:lastRenderedPageBreak/>
        <w:t xml:space="preserve">an ecosystem. </w:t>
      </w:r>
      <w:r w:rsidR="00922EBB">
        <w:rPr>
          <w:color w:val="auto"/>
        </w:rPr>
        <w:t>Ecosystem services are the benefits that people obtain from ecosystems</w:t>
      </w:r>
      <w:r w:rsidR="00F76F8A">
        <w:rPr>
          <w:color w:val="auto"/>
        </w:rPr>
        <w:t>, and GDEs provide many such services</w:t>
      </w:r>
      <w:r w:rsidR="00922EBB">
        <w:rPr>
          <w:color w:val="auto"/>
        </w:rPr>
        <w:t xml:space="preserve"> (</w:t>
      </w:r>
      <w:proofErr w:type="spellStart"/>
      <w:r w:rsidR="00922EBB">
        <w:rPr>
          <w:color w:val="auto"/>
        </w:rPr>
        <w:t>Griebler</w:t>
      </w:r>
      <w:proofErr w:type="spellEnd"/>
      <w:r w:rsidR="00922EBB">
        <w:rPr>
          <w:color w:val="auto"/>
        </w:rPr>
        <w:t xml:space="preserve"> and </w:t>
      </w:r>
      <w:proofErr w:type="spellStart"/>
      <w:r w:rsidR="00922EBB">
        <w:rPr>
          <w:color w:val="auto"/>
        </w:rPr>
        <w:t>Avramov</w:t>
      </w:r>
      <w:proofErr w:type="spellEnd"/>
      <w:r w:rsidR="00922EBB">
        <w:rPr>
          <w:color w:val="auto"/>
        </w:rPr>
        <w:t>, 2015).</w:t>
      </w:r>
    </w:p>
    <w:p w14:paraId="31C8BB63" w14:textId="77777777" w:rsidR="00683396" w:rsidRDefault="00683396" w:rsidP="00683396">
      <w:pPr>
        <w:pStyle w:val="BodyText"/>
        <w:rPr>
          <w:color w:val="auto"/>
        </w:rPr>
      </w:pPr>
      <w:r>
        <w:rPr>
          <w:color w:val="auto"/>
        </w:rPr>
        <w:t xml:space="preserve">Ecosystem </w:t>
      </w:r>
      <w:r w:rsidRPr="004C54CC">
        <w:rPr>
          <w:i/>
          <w:color w:val="auto"/>
        </w:rPr>
        <w:t>value</w:t>
      </w:r>
      <w:r>
        <w:rPr>
          <w:color w:val="auto"/>
        </w:rPr>
        <w:t xml:space="preserve"> differs </w:t>
      </w:r>
      <w:r w:rsidR="00F76F8A">
        <w:rPr>
          <w:color w:val="auto"/>
        </w:rPr>
        <w:t xml:space="preserve">from </w:t>
      </w:r>
      <w:r>
        <w:rPr>
          <w:color w:val="auto"/>
        </w:rPr>
        <w:t xml:space="preserve">ecosystem </w:t>
      </w:r>
      <w:r w:rsidRPr="004C54CC">
        <w:rPr>
          <w:i/>
          <w:color w:val="auto"/>
        </w:rPr>
        <w:t>condition</w:t>
      </w:r>
      <w:r>
        <w:rPr>
          <w:color w:val="auto"/>
        </w:rPr>
        <w:t xml:space="preserve">. </w:t>
      </w:r>
      <w:r w:rsidR="00F76F8A">
        <w:rPr>
          <w:color w:val="auto"/>
        </w:rPr>
        <w:t xml:space="preserve">Ecosystem value is when an ecosystem is given a monetary or non-monetary value by society. </w:t>
      </w:r>
      <w:r>
        <w:rPr>
          <w:color w:val="auto"/>
        </w:rPr>
        <w:t>A</w:t>
      </w:r>
      <w:r w:rsidR="00F76F8A">
        <w:rPr>
          <w:color w:val="auto"/>
        </w:rPr>
        <w:t xml:space="preserve"> GDE</w:t>
      </w:r>
      <w:r>
        <w:rPr>
          <w:color w:val="auto"/>
        </w:rPr>
        <w:t xml:space="preserve"> may be deemed valuable if it is close to its pristine condition, contains threatened or endemic species, performs a critical ecosystem service, or has some other aspect that is treasured</w:t>
      </w:r>
      <w:r w:rsidR="00F76F8A">
        <w:rPr>
          <w:color w:val="auto"/>
        </w:rPr>
        <w:t xml:space="preserve"> by society</w:t>
      </w:r>
      <w:r>
        <w:rPr>
          <w:color w:val="auto"/>
        </w:rPr>
        <w:t>. Ecological condition is the state of a GDE regardless of whether it contains any valuable assets</w:t>
      </w:r>
      <w:r w:rsidR="00F76F8A">
        <w:rPr>
          <w:color w:val="auto"/>
        </w:rPr>
        <w:t xml:space="preserve"> (</w:t>
      </w:r>
      <w:r>
        <w:rPr>
          <w:color w:val="auto"/>
        </w:rPr>
        <w:t>although GDEs in good ecological condition are often valued more highly than those that are not</w:t>
      </w:r>
      <w:r w:rsidR="003723F6">
        <w:rPr>
          <w:color w:val="auto"/>
        </w:rPr>
        <w:t>)</w:t>
      </w:r>
      <w:r>
        <w:rPr>
          <w:color w:val="auto"/>
        </w:rPr>
        <w:t xml:space="preserve">. </w:t>
      </w:r>
    </w:p>
    <w:p w14:paraId="31C8BB64" w14:textId="77777777" w:rsidR="00683396" w:rsidRDefault="00683396" w:rsidP="00683396">
      <w:pPr>
        <w:pStyle w:val="BodyText"/>
        <w:rPr>
          <w:color w:val="auto"/>
        </w:rPr>
      </w:pPr>
      <w:r>
        <w:rPr>
          <w:color w:val="auto"/>
        </w:rPr>
        <w:t>Assigning</w:t>
      </w:r>
      <w:r w:rsidRPr="00E918A1">
        <w:rPr>
          <w:color w:val="auto"/>
        </w:rPr>
        <w:t xml:space="preserve"> value/rank to prioritise GDEs is practical for management purposes,</w:t>
      </w:r>
      <w:r>
        <w:rPr>
          <w:color w:val="auto"/>
        </w:rPr>
        <w:t xml:space="preserve"> and forms part of state</w:t>
      </w:r>
      <w:r w:rsidR="004F2301">
        <w:rPr>
          <w:color w:val="auto"/>
        </w:rPr>
        <w:t xml:space="preserve"> </w:t>
      </w:r>
      <w:r>
        <w:rPr>
          <w:color w:val="auto"/>
        </w:rPr>
        <w:t>based assessment criteria in Queensland (Department of Environment and Heritage Protection, 2015) and NSW (Serov et al., 2012).</w:t>
      </w:r>
      <w:r w:rsidRPr="00E918A1">
        <w:rPr>
          <w:color w:val="auto"/>
        </w:rPr>
        <w:t xml:space="preserve"> </w:t>
      </w:r>
      <w:r w:rsidR="003723F6">
        <w:rPr>
          <w:color w:val="auto"/>
        </w:rPr>
        <w:t xml:space="preserve">A value can also be assigned through </w:t>
      </w:r>
      <w:r w:rsidR="003723F6" w:rsidRPr="00E918A1">
        <w:rPr>
          <w:color w:val="auto"/>
        </w:rPr>
        <w:t>a combination of community consultation, expert knowledge and economic assessment (amenity, tourism, conservation, economic productivity</w:t>
      </w:r>
      <w:r w:rsidR="003723F6">
        <w:rPr>
          <w:color w:val="auto"/>
        </w:rPr>
        <w:t xml:space="preserve">; </w:t>
      </w:r>
      <w:proofErr w:type="spellStart"/>
      <w:r w:rsidR="003723F6">
        <w:rPr>
          <w:color w:val="auto"/>
        </w:rPr>
        <w:t>Eamus</w:t>
      </w:r>
      <w:proofErr w:type="spellEnd"/>
      <w:r w:rsidR="003723F6">
        <w:rPr>
          <w:color w:val="auto"/>
        </w:rPr>
        <w:t xml:space="preserve"> et al., </w:t>
      </w:r>
      <w:r w:rsidR="003723F6" w:rsidRPr="00E918A1">
        <w:rPr>
          <w:color w:val="auto"/>
        </w:rPr>
        <w:t>2006)</w:t>
      </w:r>
      <w:r w:rsidR="003723F6">
        <w:rPr>
          <w:color w:val="auto"/>
        </w:rPr>
        <w:t xml:space="preserve">. </w:t>
      </w:r>
      <w:r>
        <w:rPr>
          <w:color w:val="auto"/>
        </w:rPr>
        <w:t>However, the intrinsic value of all</w:t>
      </w:r>
      <w:r w:rsidRPr="00E918A1">
        <w:rPr>
          <w:color w:val="auto"/>
        </w:rPr>
        <w:t xml:space="preserve"> GDEs </w:t>
      </w:r>
      <w:r>
        <w:rPr>
          <w:color w:val="auto"/>
        </w:rPr>
        <w:t xml:space="preserve">in maintaining </w:t>
      </w:r>
      <w:r w:rsidRPr="00E918A1">
        <w:rPr>
          <w:color w:val="auto"/>
        </w:rPr>
        <w:t>biodiversity and ecosystem function</w:t>
      </w:r>
      <w:r w:rsidR="00061E38">
        <w:rPr>
          <w:color w:val="auto"/>
        </w:rPr>
        <w:t xml:space="preserve"> </w:t>
      </w:r>
      <w:r w:rsidR="003723F6">
        <w:rPr>
          <w:color w:val="auto"/>
        </w:rPr>
        <w:t xml:space="preserve">must be </w:t>
      </w:r>
      <w:r w:rsidR="00061E38">
        <w:rPr>
          <w:color w:val="auto"/>
        </w:rPr>
        <w:t>recognised, understanding</w:t>
      </w:r>
      <w:r>
        <w:rPr>
          <w:color w:val="auto"/>
        </w:rPr>
        <w:t xml:space="preserve"> there are</w:t>
      </w:r>
      <w:r w:rsidRPr="00E918A1">
        <w:rPr>
          <w:color w:val="auto"/>
        </w:rPr>
        <w:t xml:space="preserve"> still significant </w:t>
      </w:r>
      <w:r>
        <w:rPr>
          <w:color w:val="auto"/>
        </w:rPr>
        <w:t>knowledge gaps about their vulnerability and resilience</w:t>
      </w:r>
      <w:r w:rsidRPr="00E918A1">
        <w:rPr>
          <w:color w:val="auto"/>
        </w:rPr>
        <w:t>. Furthermore, it is critical that assessment of ecological water requirements is based on scientific information and is not influenced by management objectives or changes in value or priority (Richardson et al.</w:t>
      </w:r>
      <w:r>
        <w:rPr>
          <w:color w:val="auto"/>
        </w:rPr>
        <w:t>,</w:t>
      </w:r>
      <w:r w:rsidRPr="00E918A1">
        <w:rPr>
          <w:color w:val="auto"/>
        </w:rPr>
        <w:t xml:space="preserve"> 2011)</w:t>
      </w:r>
      <w:r>
        <w:rPr>
          <w:color w:val="auto"/>
        </w:rPr>
        <w:t xml:space="preserve">. </w:t>
      </w:r>
    </w:p>
    <w:p w14:paraId="31C8BB65" w14:textId="77777777" w:rsidR="00683396" w:rsidRDefault="005E1B49" w:rsidP="00683396">
      <w:pPr>
        <w:pStyle w:val="BodyText"/>
        <w:rPr>
          <w:color w:val="auto"/>
        </w:rPr>
      </w:pPr>
      <w:r>
        <w:rPr>
          <w:noProof/>
        </w:rPr>
        <w:drawing>
          <wp:anchor distT="0" distB="0" distL="114300" distR="114300" simplePos="0" relativeHeight="251873792" behindDoc="0" locked="0" layoutInCell="1" allowOverlap="1" wp14:anchorId="31C8C2D2" wp14:editId="31C8C2D3">
            <wp:simplePos x="0" y="0"/>
            <wp:positionH relativeFrom="margin">
              <wp:align>right</wp:align>
            </wp:positionH>
            <wp:positionV relativeFrom="paragraph">
              <wp:posOffset>5618</wp:posOffset>
            </wp:positionV>
            <wp:extent cx="2617470" cy="1810385"/>
            <wp:effectExtent l="0" t="0" r="0" b="0"/>
            <wp:wrapThrough wrapText="bothSides">
              <wp:wrapPolygon edited="0">
                <wp:start x="0" y="0"/>
                <wp:lineTo x="0" y="21365"/>
                <wp:lineTo x="21380" y="21365"/>
                <wp:lineTo x="21380" y="0"/>
                <wp:lineTo x="0" y="0"/>
              </wp:wrapPolygon>
            </wp:wrapThrough>
            <wp:docPr id="52" name="Picture 6" descr="DSC_2534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SC_2534v2"/>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617470" cy="1810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3396">
        <w:rPr>
          <w:color w:val="auto"/>
        </w:rPr>
        <w:t xml:space="preserve">Ecosystem value based on expert knowledge requires an understanding </w:t>
      </w:r>
      <w:r w:rsidR="00683396" w:rsidRPr="00C6343D">
        <w:rPr>
          <w:color w:val="auto"/>
        </w:rPr>
        <w:t>of biodiversity</w:t>
      </w:r>
      <w:r w:rsidR="00BC576D">
        <w:rPr>
          <w:color w:val="auto"/>
        </w:rPr>
        <w:t xml:space="preserve">, </w:t>
      </w:r>
      <w:r w:rsidR="00683396" w:rsidRPr="00C6343D">
        <w:rPr>
          <w:color w:val="auto"/>
        </w:rPr>
        <w:t>rare and endangered species</w:t>
      </w:r>
      <w:r w:rsidR="00683396" w:rsidRPr="004840CB">
        <w:rPr>
          <w:color w:val="auto"/>
        </w:rPr>
        <w:t xml:space="preserve"> </w:t>
      </w:r>
      <w:r w:rsidR="00683396" w:rsidRPr="00C6343D">
        <w:rPr>
          <w:color w:val="auto"/>
        </w:rPr>
        <w:t>listed as threatened under national or state legislation, uniqueness</w:t>
      </w:r>
      <w:r w:rsidR="00683396" w:rsidRPr="004840CB">
        <w:rPr>
          <w:color w:val="auto"/>
        </w:rPr>
        <w:t xml:space="preserve"> (endemic species)</w:t>
      </w:r>
      <w:r w:rsidR="00683396" w:rsidRPr="00C6343D">
        <w:rPr>
          <w:color w:val="auto"/>
        </w:rPr>
        <w:t xml:space="preserve">, ecological condition, services provided, </w:t>
      </w:r>
      <w:r w:rsidR="00683396" w:rsidRPr="004840CB">
        <w:rPr>
          <w:color w:val="auto"/>
        </w:rPr>
        <w:t>the</w:t>
      </w:r>
      <w:r w:rsidR="00683396" w:rsidRPr="00C6343D">
        <w:rPr>
          <w:color w:val="auto"/>
        </w:rPr>
        <w:t xml:space="preserve"> nature of groundwater dependence (e.g. obligate/facultative GDEs or frequency of dependence) and other special features</w:t>
      </w:r>
      <w:r w:rsidR="00683396">
        <w:rPr>
          <w:color w:val="auto"/>
        </w:rPr>
        <w:t xml:space="preserve"> (</w:t>
      </w:r>
      <w:r w:rsidR="003723F6">
        <w:rPr>
          <w:color w:val="auto"/>
        </w:rPr>
        <w:t xml:space="preserve">e.g. </w:t>
      </w:r>
      <w:r w:rsidR="00683396">
        <w:rPr>
          <w:color w:val="auto"/>
        </w:rPr>
        <w:t>cultural or geological significance)</w:t>
      </w:r>
      <w:r w:rsidR="00683396" w:rsidRPr="00C6343D">
        <w:rPr>
          <w:color w:val="auto"/>
        </w:rPr>
        <w:t>.</w:t>
      </w:r>
      <w:r w:rsidR="00683396">
        <w:rPr>
          <w:color w:val="auto"/>
        </w:rPr>
        <w:t xml:space="preserve"> Under Queensland state guidelines, environmental value is considered a function of the health or biodiversity of an ecosystem, the ecosystem’s natural state and biological integrity, the presence of unique features (which includes species and communities, as well as hydrological or geological features), </w:t>
      </w:r>
      <w:r w:rsidR="003723F6">
        <w:rPr>
          <w:color w:val="auto"/>
        </w:rPr>
        <w:t>and/</w:t>
      </w:r>
      <w:r w:rsidR="00683396">
        <w:rPr>
          <w:color w:val="auto"/>
        </w:rPr>
        <w:t>or the natural interaction between ecosystems (Department of Environment and Heritage Protection, 2015).</w:t>
      </w:r>
    </w:p>
    <w:p w14:paraId="31C8BB66" w14:textId="77777777" w:rsidR="00922EBB" w:rsidRDefault="00683396" w:rsidP="00922EBB">
      <w:pPr>
        <w:pStyle w:val="BodyText"/>
        <w:rPr>
          <w:color w:val="auto"/>
        </w:rPr>
      </w:pPr>
      <w:r>
        <w:t xml:space="preserve">Another aspect of GDEs that should be considered when determining their value is the ecosystem services they provide to </w:t>
      </w:r>
      <w:r w:rsidR="00C43793">
        <w:t>humans</w:t>
      </w:r>
      <w:r>
        <w:t xml:space="preserve">. </w:t>
      </w:r>
      <w:r w:rsidR="00922EBB">
        <w:t xml:space="preserve">The full range of </w:t>
      </w:r>
      <w:r w:rsidR="003723F6">
        <w:t xml:space="preserve">their </w:t>
      </w:r>
      <w:r w:rsidR="00922EBB">
        <w:t xml:space="preserve">ecosystem services </w:t>
      </w:r>
      <w:r w:rsidR="003723F6">
        <w:t>is</w:t>
      </w:r>
      <w:r w:rsidR="00922EBB">
        <w:t xml:space="preserve"> unlikely to be fully realised</w:t>
      </w:r>
      <w:r w:rsidR="003723F6">
        <w:t xml:space="preserve"> yet</w:t>
      </w:r>
      <w:r w:rsidR="00025C51">
        <w:t>,</w:t>
      </w:r>
      <w:r w:rsidR="00922EBB">
        <w:t xml:space="preserve"> as this area of research</w:t>
      </w:r>
      <w:r w:rsidR="00025C51">
        <w:t xml:space="preserve"> </w:t>
      </w:r>
      <w:r w:rsidR="003723F6">
        <w:t>is still developing</w:t>
      </w:r>
      <w:r w:rsidR="00922EBB">
        <w:t xml:space="preserve">. </w:t>
      </w:r>
      <w:r w:rsidR="00025C51">
        <w:t>E</w:t>
      </w:r>
      <w:r w:rsidR="00922EBB">
        <w:t xml:space="preserve">cosystem services provided by the different types of GDEs are </w:t>
      </w:r>
      <w:r w:rsidR="00025C51">
        <w:t xml:space="preserve">shown </w:t>
      </w:r>
      <w:r w:rsidR="00922EBB">
        <w:t>below</w:t>
      </w:r>
      <w:r w:rsidR="00025C51">
        <w:t>, noting that a</w:t>
      </w:r>
      <w:r w:rsidR="00922EBB">
        <w:t>ll GDE types have the potential to s</w:t>
      </w:r>
      <w:r w:rsidR="00922EBB">
        <w:rPr>
          <w:color w:val="auto"/>
        </w:rPr>
        <w:t xml:space="preserve">upport endangered and threatened species, be biodiversity hotspots and </w:t>
      </w:r>
      <w:r w:rsidR="00025C51">
        <w:rPr>
          <w:color w:val="auto"/>
        </w:rPr>
        <w:t>provide</w:t>
      </w:r>
      <w:r w:rsidR="00922EBB">
        <w:rPr>
          <w:color w:val="auto"/>
        </w:rPr>
        <w:t xml:space="preserve"> water for human consumption</w:t>
      </w:r>
      <w:r w:rsidR="00922EBB">
        <w:t xml:space="preserve"> </w:t>
      </w:r>
      <w:r w:rsidR="00922EBB">
        <w:rPr>
          <w:color w:val="auto"/>
        </w:rPr>
        <w:t>(</w:t>
      </w:r>
      <w:proofErr w:type="spellStart"/>
      <w:r w:rsidR="00922EBB">
        <w:rPr>
          <w:color w:val="auto"/>
        </w:rPr>
        <w:t>Griebler</w:t>
      </w:r>
      <w:proofErr w:type="spellEnd"/>
      <w:r w:rsidR="00922EBB">
        <w:rPr>
          <w:color w:val="auto"/>
        </w:rPr>
        <w:t xml:space="preserve"> and </w:t>
      </w:r>
      <w:proofErr w:type="spellStart"/>
      <w:r w:rsidR="00922EBB">
        <w:rPr>
          <w:color w:val="auto"/>
        </w:rPr>
        <w:t>Avramov</w:t>
      </w:r>
      <w:proofErr w:type="spellEnd"/>
      <w:r w:rsidR="00922EBB">
        <w:rPr>
          <w:color w:val="auto"/>
        </w:rPr>
        <w:t>, 2015)</w:t>
      </w:r>
      <w:r w:rsidR="003723F6">
        <w:rPr>
          <w:color w:val="auto"/>
        </w:rPr>
        <w:t>:</w:t>
      </w:r>
    </w:p>
    <w:p w14:paraId="31C8BB67" w14:textId="77777777" w:rsidR="00922EBB" w:rsidRDefault="00025C51" w:rsidP="00F1192F">
      <w:pPr>
        <w:pStyle w:val="BodyText"/>
        <w:numPr>
          <w:ilvl w:val="0"/>
          <w:numId w:val="35"/>
        </w:numPr>
        <w:rPr>
          <w:color w:val="auto"/>
        </w:rPr>
      </w:pPr>
      <w:r>
        <w:rPr>
          <w:color w:val="auto"/>
        </w:rPr>
        <w:t>w</w:t>
      </w:r>
      <w:r w:rsidR="00922EBB">
        <w:rPr>
          <w:color w:val="auto"/>
        </w:rPr>
        <w:t>ater purification and storage in good quality for decades to centuries</w:t>
      </w:r>
    </w:p>
    <w:p w14:paraId="31C8BB68" w14:textId="77777777" w:rsidR="00922EBB" w:rsidRDefault="00025C51" w:rsidP="00F1192F">
      <w:pPr>
        <w:pStyle w:val="BodyText"/>
        <w:numPr>
          <w:ilvl w:val="0"/>
          <w:numId w:val="35"/>
        </w:numPr>
        <w:rPr>
          <w:color w:val="auto"/>
        </w:rPr>
      </w:pPr>
      <w:r>
        <w:rPr>
          <w:color w:val="auto"/>
        </w:rPr>
        <w:t>a</w:t>
      </w:r>
      <w:r w:rsidR="00922EBB">
        <w:rPr>
          <w:color w:val="auto"/>
        </w:rPr>
        <w:t>ctive biodegradation of anthropogenic contaminants and inactivation and elimination of pathogens</w:t>
      </w:r>
    </w:p>
    <w:p w14:paraId="31C8BB69" w14:textId="77777777" w:rsidR="00922EBB" w:rsidRDefault="00025C51" w:rsidP="00F1192F">
      <w:pPr>
        <w:pStyle w:val="BodyText"/>
        <w:numPr>
          <w:ilvl w:val="0"/>
          <w:numId w:val="35"/>
        </w:numPr>
        <w:rPr>
          <w:color w:val="auto"/>
        </w:rPr>
      </w:pPr>
      <w:r>
        <w:rPr>
          <w:color w:val="auto"/>
        </w:rPr>
        <w:t>c</w:t>
      </w:r>
      <w:r w:rsidR="00922EBB">
        <w:rPr>
          <w:color w:val="auto"/>
        </w:rPr>
        <w:t>arbon sequestration</w:t>
      </w:r>
    </w:p>
    <w:p w14:paraId="31C8BB6A" w14:textId="77777777" w:rsidR="00922EBB" w:rsidRPr="0094689F" w:rsidRDefault="00025C51" w:rsidP="00F1192F">
      <w:pPr>
        <w:pStyle w:val="BodyText"/>
        <w:numPr>
          <w:ilvl w:val="0"/>
          <w:numId w:val="35"/>
        </w:numPr>
        <w:rPr>
          <w:color w:val="auto"/>
        </w:rPr>
      </w:pPr>
      <w:r>
        <w:rPr>
          <w:color w:val="auto"/>
        </w:rPr>
        <w:t>n</w:t>
      </w:r>
      <w:r w:rsidR="00922EBB" w:rsidRPr="0094689F">
        <w:rPr>
          <w:color w:val="auto"/>
        </w:rPr>
        <w:t xml:space="preserve">utrient cycling (e.g. transformation of nutrients in </w:t>
      </w:r>
      <w:proofErr w:type="spellStart"/>
      <w:r w:rsidR="00922EBB" w:rsidRPr="0094689F">
        <w:rPr>
          <w:color w:val="auto"/>
        </w:rPr>
        <w:t>hyporheic</w:t>
      </w:r>
      <w:proofErr w:type="spellEnd"/>
      <w:r w:rsidR="00922EBB" w:rsidRPr="0094689F">
        <w:rPr>
          <w:color w:val="auto"/>
        </w:rPr>
        <w:t xml:space="preserve"> zone and subsequent discharge to surface waters)</w:t>
      </w:r>
    </w:p>
    <w:p w14:paraId="31C8BB6B" w14:textId="77777777" w:rsidR="00922EBB" w:rsidRDefault="00025C51" w:rsidP="00F1192F">
      <w:pPr>
        <w:pStyle w:val="BodyText"/>
        <w:numPr>
          <w:ilvl w:val="0"/>
          <w:numId w:val="35"/>
        </w:numPr>
        <w:rPr>
          <w:color w:val="auto"/>
        </w:rPr>
      </w:pPr>
      <w:proofErr w:type="gramStart"/>
      <w:r>
        <w:rPr>
          <w:color w:val="auto"/>
        </w:rPr>
        <w:t>m</w:t>
      </w:r>
      <w:r w:rsidR="00922EBB">
        <w:rPr>
          <w:color w:val="auto"/>
        </w:rPr>
        <w:t>itigation</w:t>
      </w:r>
      <w:proofErr w:type="gramEnd"/>
      <w:r w:rsidR="00922EBB">
        <w:rPr>
          <w:color w:val="auto"/>
        </w:rPr>
        <w:t xml:space="preserve"> of floods (aquifers receive and retard large volumes of surface water) and droughts (groundwater discharge sustains surface waters)</w:t>
      </w:r>
      <w:r w:rsidR="00F9609B">
        <w:rPr>
          <w:color w:val="auto"/>
        </w:rPr>
        <w:t>.</w:t>
      </w:r>
    </w:p>
    <w:p w14:paraId="31C8BB6C" w14:textId="77777777" w:rsidR="00C43793" w:rsidRDefault="00922EBB" w:rsidP="00C43793">
      <w:pPr>
        <w:pStyle w:val="BodyText"/>
        <w:rPr>
          <w:color w:val="auto"/>
        </w:rPr>
      </w:pPr>
      <w:r>
        <w:rPr>
          <w:color w:val="auto"/>
        </w:rPr>
        <w:t>Ecosystems dependent on the surface expression of groundwater (</w:t>
      </w:r>
      <w:proofErr w:type="spellStart"/>
      <w:r>
        <w:rPr>
          <w:color w:val="auto"/>
        </w:rPr>
        <w:t>Mitsch</w:t>
      </w:r>
      <w:proofErr w:type="spellEnd"/>
      <w:r>
        <w:rPr>
          <w:color w:val="auto"/>
        </w:rPr>
        <w:t xml:space="preserve"> et al., 2015) may also</w:t>
      </w:r>
      <w:r w:rsidR="00C43793">
        <w:rPr>
          <w:color w:val="auto"/>
        </w:rPr>
        <w:t xml:space="preserve"> provide the following services</w:t>
      </w:r>
      <w:r w:rsidR="003723F6">
        <w:rPr>
          <w:color w:val="auto"/>
        </w:rPr>
        <w:t>:</w:t>
      </w:r>
    </w:p>
    <w:p w14:paraId="31C8BB6D" w14:textId="77777777" w:rsidR="00922EBB" w:rsidRDefault="00025C51" w:rsidP="008C5F19">
      <w:pPr>
        <w:pStyle w:val="BodyText"/>
        <w:numPr>
          <w:ilvl w:val="0"/>
          <w:numId w:val="40"/>
        </w:numPr>
        <w:rPr>
          <w:color w:val="auto"/>
        </w:rPr>
      </w:pPr>
      <w:r>
        <w:rPr>
          <w:color w:val="auto"/>
        </w:rPr>
        <w:t>h</w:t>
      </w:r>
      <w:r w:rsidR="00922EBB">
        <w:rPr>
          <w:color w:val="auto"/>
        </w:rPr>
        <w:t>abitat for animals (e.g. timing of water availability, temperature regulation)</w:t>
      </w:r>
    </w:p>
    <w:p w14:paraId="31C8BB6E" w14:textId="77777777" w:rsidR="00922EBB" w:rsidRDefault="00025C51" w:rsidP="00F1192F">
      <w:pPr>
        <w:pStyle w:val="BodyText"/>
        <w:numPr>
          <w:ilvl w:val="0"/>
          <w:numId w:val="36"/>
        </w:numPr>
        <w:rPr>
          <w:color w:val="auto"/>
        </w:rPr>
      </w:pPr>
      <w:r>
        <w:rPr>
          <w:color w:val="auto"/>
        </w:rPr>
        <w:t>t</w:t>
      </w:r>
      <w:r w:rsidR="00922EBB">
        <w:rPr>
          <w:color w:val="auto"/>
        </w:rPr>
        <w:t>imber/peat harvesting</w:t>
      </w:r>
    </w:p>
    <w:p w14:paraId="31C8BB6F" w14:textId="77777777" w:rsidR="00922EBB" w:rsidRDefault="00025C51" w:rsidP="00F1192F">
      <w:pPr>
        <w:pStyle w:val="BodyText"/>
        <w:numPr>
          <w:ilvl w:val="0"/>
          <w:numId w:val="36"/>
        </w:numPr>
        <w:rPr>
          <w:color w:val="auto"/>
        </w:rPr>
      </w:pPr>
      <w:r>
        <w:rPr>
          <w:color w:val="auto"/>
        </w:rPr>
        <w:t>i</w:t>
      </w:r>
      <w:r w:rsidR="00922EBB">
        <w:rPr>
          <w:color w:val="auto"/>
        </w:rPr>
        <w:t>mprove water quality</w:t>
      </w:r>
    </w:p>
    <w:p w14:paraId="31C8BB70" w14:textId="77777777" w:rsidR="00922EBB" w:rsidRDefault="00717253" w:rsidP="00F1192F">
      <w:pPr>
        <w:pStyle w:val="BodyText"/>
        <w:numPr>
          <w:ilvl w:val="0"/>
          <w:numId w:val="36"/>
        </w:numPr>
        <w:rPr>
          <w:color w:val="auto"/>
        </w:rPr>
      </w:pPr>
      <w:r>
        <w:rPr>
          <w:color w:val="auto"/>
        </w:rPr>
        <w:lastRenderedPageBreak/>
        <w:t>m</w:t>
      </w:r>
      <w:r w:rsidR="00922EBB">
        <w:rPr>
          <w:color w:val="auto"/>
        </w:rPr>
        <w:t>itigate flood and storm damage (e.g. wetlands receive and retard large volumes of surface water)</w:t>
      </w:r>
    </w:p>
    <w:p w14:paraId="31C8BB71" w14:textId="77777777" w:rsidR="00922EBB" w:rsidRDefault="00717253" w:rsidP="00F1192F">
      <w:pPr>
        <w:pStyle w:val="BodyText"/>
        <w:numPr>
          <w:ilvl w:val="0"/>
          <w:numId w:val="36"/>
        </w:numPr>
        <w:rPr>
          <w:color w:val="auto"/>
        </w:rPr>
      </w:pPr>
      <w:r>
        <w:rPr>
          <w:color w:val="auto"/>
        </w:rPr>
        <w:t>s</w:t>
      </w:r>
      <w:r w:rsidR="00922EBB">
        <w:rPr>
          <w:color w:val="auto"/>
        </w:rPr>
        <w:t>ustain human culture (e.g. tourism)</w:t>
      </w:r>
    </w:p>
    <w:p w14:paraId="31C8BB72" w14:textId="77777777" w:rsidR="00922EBB" w:rsidRDefault="00717253" w:rsidP="00F1192F">
      <w:pPr>
        <w:pStyle w:val="BodyText"/>
        <w:numPr>
          <w:ilvl w:val="0"/>
          <w:numId w:val="36"/>
        </w:numPr>
        <w:rPr>
          <w:color w:val="auto"/>
        </w:rPr>
      </w:pPr>
      <w:r>
        <w:rPr>
          <w:color w:val="auto"/>
        </w:rPr>
        <w:t>s</w:t>
      </w:r>
      <w:r w:rsidR="00922EBB">
        <w:rPr>
          <w:color w:val="auto"/>
        </w:rPr>
        <w:t>oil development</w:t>
      </w:r>
    </w:p>
    <w:p w14:paraId="31C8BB73" w14:textId="77777777" w:rsidR="00922EBB" w:rsidRDefault="00717253" w:rsidP="00F1192F">
      <w:pPr>
        <w:pStyle w:val="BodyText"/>
        <w:numPr>
          <w:ilvl w:val="0"/>
          <w:numId w:val="37"/>
        </w:numPr>
        <w:rPr>
          <w:color w:val="auto"/>
        </w:rPr>
      </w:pPr>
      <w:r>
        <w:rPr>
          <w:color w:val="auto"/>
        </w:rPr>
        <w:t>h</w:t>
      </w:r>
      <w:r w:rsidR="00922EBB">
        <w:rPr>
          <w:color w:val="auto"/>
        </w:rPr>
        <w:t>ydraulic redistribution of deep water to shallow</w:t>
      </w:r>
      <w:r w:rsidR="00705472">
        <w:rPr>
          <w:color w:val="auto"/>
        </w:rPr>
        <w:t xml:space="preserve"> soil </w:t>
      </w:r>
    </w:p>
    <w:p w14:paraId="31C8BB74" w14:textId="77777777" w:rsidR="00922EBB" w:rsidRDefault="00717253" w:rsidP="00F1192F">
      <w:pPr>
        <w:pStyle w:val="BodyText"/>
        <w:numPr>
          <w:ilvl w:val="0"/>
          <w:numId w:val="37"/>
        </w:numPr>
        <w:rPr>
          <w:color w:val="auto"/>
        </w:rPr>
      </w:pPr>
      <w:r>
        <w:rPr>
          <w:color w:val="auto"/>
        </w:rPr>
        <w:t>p</w:t>
      </w:r>
      <w:r w:rsidR="00922EBB" w:rsidRPr="004F402F">
        <w:rPr>
          <w:color w:val="auto"/>
        </w:rPr>
        <w:t xml:space="preserve">ollinator habitat </w:t>
      </w:r>
    </w:p>
    <w:p w14:paraId="31C8BB75" w14:textId="77777777" w:rsidR="00922EBB" w:rsidRPr="0094689F" w:rsidRDefault="00717253" w:rsidP="00F1192F">
      <w:pPr>
        <w:pStyle w:val="BodyText"/>
        <w:numPr>
          <w:ilvl w:val="0"/>
          <w:numId w:val="37"/>
        </w:numPr>
        <w:rPr>
          <w:color w:val="auto"/>
        </w:rPr>
      </w:pPr>
      <w:proofErr w:type="gramStart"/>
      <w:r>
        <w:rPr>
          <w:color w:val="auto"/>
        </w:rPr>
        <w:t>p</w:t>
      </w:r>
      <w:r w:rsidR="00922EBB">
        <w:rPr>
          <w:color w:val="auto"/>
        </w:rPr>
        <w:t>revention</w:t>
      </w:r>
      <w:proofErr w:type="gramEnd"/>
      <w:r w:rsidR="00922EBB">
        <w:rPr>
          <w:color w:val="auto"/>
        </w:rPr>
        <w:t xml:space="preserve"> of soil erosion.</w:t>
      </w:r>
    </w:p>
    <w:p w14:paraId="31C8BB76" w14:textId="77777777" w:rsidR="00C70F80" w:rsidRDefault="00063AC0" w:rsidP="00063AC0">
      <w:pPr>
        <w:pStyle w:val="Heading2"/>
      </w:pPr>
      <w:bookmarkStart w:id="16" w:name="_Toc509996458"/>
      <w:r>
        <w:t>Threats to GDEs from CSG and LCM</w:t>
      </w:r>
      <w:r w:rsidR="003723F6">
        <w:t xml:space="preserve"> activities</w:t>
      </w:r>
      <w:bookmarkEnd w:id="16"/>
    </w:p>
    <w:p w14:paraId="31C8BB77" w14:textId="77777777" w:rsidR="00063AC0" w:rsidRPr="00381249" w:rsidRDefault="00063AC0" w:rsidP="00063AC0">
      <w:pPr>
        <w:pStyle w:val="BodyText"/>
      </w:pPr>
      <w:r w:rsidRPr="00381249">
        <w:t xml:space="preserve">As GDEs rely on groundwater to sustain all or some of their water requirements, particularly in arid and semi-arid climates, they are at risk whenever there is a change in groundwater </w:t>
      </w:r>
      <w:r>
        <w:t xml:space="preserve">quantity and/or </w:t>
      </w:r>
      <w:r w:rsidRPr="00381249">
        <w:t>quality</w:t>
      </w:r>
      <w:r>
        <w:t xml:space="preserve">. </w:t>
      </w:r>
    </w:p>
    <w:p w14:paraId="31C8BB78" w14:textId="77777777" w:rsidR="00063AC0" w:rsidRDefault="00063AC0" w:rsidP="00063AC0">
      <w:pPr>
        <w:pStyle w:val="BodyText"/>
      </w:pPr>
      <w:r w:rsidRPr="00C50897">
        <w:t xml:space="preserve">GDEs are vulnerable to CSG </w:t>
      </w:r>
      <w:r w:rsidR="00AB6B3E">
        <w:t xml:space="preserve">and LCM </w:t>
      </w:r>
      <w:r w:rsidRPr="00C50897">
        <w:t>developments because of hydrological</w:t>
      </w:r>
      <w:r>
        <w:t>, hydrogeological</w:t>
      </w:r>
      <w:r w:rsidRPr="00C50897">
        <w:t xml:space="preserve"> and geological links between the </w:t>
      </w:r>
      <w:r>
        <w:t>development</w:t>
      </w:r>
      <w:r w:rsidRPr="00C50897">
        <w:t xml:space="preserve"> and </w:t>
      </w:r>
      <w:r>
        <w:t>adjacent GDEs</w:t>
      </w:r>
      <w:r w:rsidRPr="00C50897">
        <w:t xml:space="preserve">. </w:t>
      </w:r>
      <w:r>
        <w:t>Aquifers are the connecting features, and impacts from developments can be transferred to GDEs through changes in either the rock or sedimentary structure of the aquifer or the water it contains</w:t>
      </w:r>
      <w:r w:rsidR="003723F6">
        <w:t>. A</w:t>
      </w:r>
      <w:r>
        <w:t xml:space="preserve">s a result, </w:t>
      </w:r>
      <w:r w:rsidRPr="00381249">
        <w:t xml:space="preserve">subterranean, aquatic and terrestrial GDEs are at risk of altered ecological condition. Estuarine and marine GDEs such as submarine discharge springs are </w:t>
      </w:r>
      <w:r>
        <w:t>not discussed in</w:t>
      </w:r>
      <w:r w:rsidRPr="00381249">
        <w:t xml:space="preserve"> th</w:t>
      </w:r>
      <w:r>
        <w:t>is</w:t>
      </w:r>
      <w:r w:rsidRPr="00381249">
        <w:t xml:space="preserve"> Explanatory Note</w:t>
      </w:r>
      <w:r>
        <w:t xml:space="preserve"> but may be relevant</w:t>
      </w:r>
      <w:r w:rsidRPr="00381249">
        <w:t xml:space="preserve"> in the context of on-shore shale/tight gas </w:t>
      </w:r>
      <w:r w:rsidR="00B12A69">
        <w:t>operations</w:t>
      </w:r>
      <w:r w:rsidRPr="00381249">
        <w:t xml:space="preserve">. </w:t>
      </w:r>
    </w:p>
    <w:p w14:paraId="31C8BB79" w14:textId="77777777" w:rsidR="001D400D" w:rsidRPr="001D400D" w:rsidRDefault="00BD0CD7" w:rsidP="001D400D">
      <w:pPr>
        <w:pStyle w:val="BodyText"/>
      </w:pPr>
      <w:r>
        <w:rPr>
          <w:noProof/>
        </w:rPr>
        <w:drawing>
          <wp:anchor distT="0" distB="0" distL="114300" distR="114300" simplePos="0" relativeHeight="251891200" behindDoc="0" locked="0" layoutInCell="1" allowOverlap="1" wp14:anchorId="31C8C2D4" wp14:editId="31C8C2D5">
            <wp:simplePos x="0" y="0"/>
            <wp:positionH relativeFrom="margin">
              <wp:align>left</wp:align>
            </wp:positionH>
            <wp:positionV relativeFrom="paragraph">
              <wp:posOffset>3810</wp:posOffset>
            </wp:positionV>
            <wp:extent cx="2850515" cy="1878330"/>
            <wp:effectExtent l="0" t="0" r="6985" b="7620"/>
            <wp:wrapThrough wrapText="bothSides">
              <wp:wrapPolygon edited="0">
                <wp:start x="0" y="0"/>
                <wp:lineTo x="0" y="21469"/>
                <wp:lineTo x="21509" y="21469"/>
                <wp:lineTo x="21509"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SC_7418v1.jpg"/>
                    <pic:cNvPicPr/>
                  </pic:nvPicPr>
                  <pic:blipFill>
                    <a:blip r:embed="rId35" cstate="email">
                      <a:extLst>
                        <a:ext uri="{28A0092B-C50C-407E-A947-70E740481C1C}">
                          <a14:useLocalDpi xmlns:a14="http://schemas.microsoft.com/office/drawing/2010/main"/>
                        </a:ext>
                      </a:extLst>
                    </a:blip>
                    <a:stretch>
                      <a:fillRect/>
                    </a:stretch>
                  </pic:blipFill>
                  <pic:spPr>
                    <a:xfrm>
                      <a:off x="0" y="0"/>
                      <a:ext cx="2850515" cy="1878330"/>
                    </a:xfrm>
                    <a:prstGeom prst="rect">
                      <a:avLst/>
                    </a:prstGeom>
                  </pic:spPr>
                </pic:pic>
              </a:graphicData>
            </a:graphic>
            <wp14:sizeRelH relativeFrom="margin">
              <wp14:pctWidth>0</wp14:pctWidth>
            </wp14:sizeRelH>
            <wp14:sizeRelV relativeFrom="margin">
              <wp14:pctHeight>0</wp14:pctHeight>
            </wp14:sizeRelV>
          </wp:anchor>
        </w:drawing>
      </w:r>
      <w:r w:rsidR="00063AC0" w:rsidRPr="00381249">
        <w:t xml:space="preserve">Current environmental impact assessments of CSG and LCM are often limited to GDEs that rely on groundwater access on a permanent or near permanent basis (such as spring communities), overlooking more </w:t>
      </w:r>
      <w:r w:rsidR="00063AC0">
        <w:t xml:space="preserve">episodic and </w:t>
      </w:r>
      <w:r w:rsidR="00063AC0" w:rsidRPr="00381249">
        <w:t xml:space="preserve">opportunistic groundwater users. Additionally, only protected or threatened ecological communities that are </w:t>
      </w:r>
      <w:r w:rsidR="00063AC0" w:rsidRPr="00705472">
        <w:t>listed</w:t>
      </w:r>
      <w:r w:rsidR="00F9609B">
        <w:t>,</w:t>
      </w:r>
      <w:r w:rsidR="00063AC0" w:rsidRPr="00705472">
        <w:t xml:space="preserve"> tend to be considered. However, the legislative intent of the ‘water trigger’ (</w:t>
      </w:r>
      <w:r w:rsidR="00063AC0">
        <w:t>Section 1.2) is that potential</w:t>
      </w:r>
      <w:r w:rsidR="00063AC0" w:rsidRPr="00381249">
        <w:t xml:space="preserve"> impact</w:t>
      </w:r>
      <w:r w:rsidR="00063AC0">
        <w:t>s</w:t>
      </w:r>
      <w:r w:rsidR="00063AC0" w:rsidRPr="00381249">
        <w:t xml:space="preserve"> </w:t>
      </w:r>
      <w:r w:rsidR="00063AC0">
        <w:t xml:space="preserve">from CSG and </w:t>
      </w:r>
      <w:r w:rsidR="00063AC0" w:rsidRPr="00381249">
        <w:t>L</w:t>
      </w:r>
      <w:r w:rsidR="00063AC0">
        <w:t>C</w:t>
      </w:r>
      <w:r w:rsidR="00063AC0" w:rsidRPr="00381249">
        <w:t xml:space="preserve">M to </w:t>
      </w:r>
      <w:r w:rsidR="00063AC0" w:rsidRPr="00BC576D">
        <w:rPr>
          <w:b/>
          <w:u w:val="single"/>
        </w:rPr>
        <w:t>all</w:t>
      </w:r>
      <w:r w:rsidR="00063AC0" w:rsidRPr="00381249">
        <w:t xml:space="preserve"> GDEs </w:t>
      </w:r>
      <w:r w:rsidR="00063AC0">
        <w:t>should be</w:t>
      </w:r>
      <w:r w:rsidR="00063AC0" w:rsidRPr="00381249">
        <w:t xml:space="preserve"> assessed.</w:t>
      </w:r>
      <w:r w:rsidR="003723F6">
        <w:t xml:space="preserve"> The next chapter discusses potential threats and impacts in more detail, along with their likely pathways of effect</w:t>
      </w:r>
      <w:r w:rsidR="001D400D">
        <w:t>.</w:t>
      </w:r>
    </w:p>
    <w:p w14:paraId="31C8BB7A" w14:textId="77777777" w:rsidR="001D400D" w:rsidRDefault="001D400D" w:rsidP="00063AC0">
      <w:pPr>
        <w:pStyle w:val="BodyText"/>
      </w:pPr>
    </w:p>
    <w:p w14:paraId="31C8BB7B" w14:textId="77777777" w:rsidR="001D400D" w:rsidRDefault="001D400D" w:rsidP="001D400D">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t xml:space="preserve">RECOMMENDATION: Proponents need to consider </w:t>
      </w:r>
      <w:r w:rsidRPr="005E1B49">
        <w:rPr>
          <w:b/>
        </w:rPr>
        <w:t>all</w:t>
      </w:r>
      <w:r w:rsidRPr="001D400D">
        <w:t xml:space="preserve"> GDEs, including those which are only partially dependent on groundwater and do not support any listed species.  For this reason, an assessment of ecological condition, rather than ecological value is critical in establishing a baseline indication of ecological condition.</w:t>
      </w:r>
    </w:p>
    <w:p w14:paraId="31C8BB7C" w14:textId="77777777" w:rsidR="003723F6" w:rsidRDefault="003723F6" w:rsidP="00063AC0">
      <w:pPr>
        <w:pStyle w:val="BodyText"/>
      </w:pPr>
    </w:p>
    <w:p w14:paraId="31C8BB7D" w14:textId="77777777" w:rsidR="00705472" w:rsidRDefault="00705472" w:rsidP="00063AC0">
      <w:pPr>
        <w:pStyle w:val="BodyText"/>
      </w:pPr>
    </w:p>
    <w:p w14:paraId="31C8BB7E" w14:textId="77777777" w:rsidR="002010C7" w:rsidRDefault="002010C7" w:rsidP="00063AC0">
      <w:pPr>
        <w:pStyle w:val="BodyText"/>
      </w:pPr>
    </w:p>
    <w:p w14:paraId="31C8BB7F" w14:textId="77777777" w:rsidR="00063AC0" w:rsidRDefault="003F5655" w:rsidP="002010C7">
      <w:pPr>
        <w:pStyle w:val="Heading1"/>
      </w:pPr>
      <w:bookmarkStart w:id="17" w:name="_Toc509996459"/>
      <w:r>
        <w:lastRenderedPageBreak/>
        <w:t>Potential</w:t>
      </w:r>
      <w:r w:rsidR="00063AC0">
        <w:t xml:space="preserve"> impacts</w:t>
      </w:r>
      <w:r>
        <w:t xml:space="preserve"> of CSG and LCM development on GDEs</w:t>
      </w:r>
      <w:bookmarkEnd w:id="17"/>
    </w:p>
    <w:p w14:paraId="31C8BB80" w14:textId="77777777" w:rsidR="00063AC0" w:rsidRPr="002A3380" w:rsidRDefault="00063AC0" w:rsidP="00BC576D">
      <w:pPr>
        <w:pStyle w:val="BodyText"/>
        <w:rPr>
          <w:sz w:val="12"/>
          <w:szCs w:val="12"/>
        </w:rPr>
      </w:pPr>
      <w:r w:rsidRPr="002A3380">
        <w:t>Groundwater dependence in ecosystems</w:t>
      </w:r>
      <w:r>
        <w:t xml:space="preserve"> </w:t>
      </w:r>
      <w:r w:rsidRPr="002A3380">
        <w:t xml:space="preserve">is extremely variable through both space and time, and </w:t>
      </w:r>
      <w:r w:rsidR="003F5655">
        <w:t xml:space="preserve">among </w:t>
      </w:r>
      <w:r w:rsidRPr="002A3380">
        <w:t>organisms. Dependence</w:t>
      </w:r>
      <w:r>
        <w:t xml:space="preserve"> by biota </w:t>
      </w:r>
      <w:r w:rsidRPr="002A3380">
        <w:t>can be continuous (e.g.</w:t>
      </w:r>
      <w:r>
        <w:t xml:space="preserve"> stygofauna </w:t>
      </w:r>
      <w:r w:rsidRPr="002A3380">
        <w:t xml:space="preserve">living in aquifers), ephemeral (e.g. </w:t>
      </w:r>
      <w:r w:rsidR="00680840">
        <w:t xml:space="preserve">riparian </w:t>
      </w:r>
      <w:r w:rsidRPr="002A3380">
        <w:t>trees that use groundwater when soil moisture or surface water is not available) or</w:t>
      </w:r>
      <w:r>
        <w:t xml:space="preserve"> </w:t>
      </w:r>
      <w:r w:rsidRPr="002A3380">
        <w:t>strategically</w:t>
      </w:r>
      <w:r>
        <w:t xml:space="preserve"> </w:t>
      </w:r>
      <w:r w:rsidRPr="002A3380">
        <w:t>cued to critical life stages (e.g. fish using warm upwelling groundwater for spawning). In addition, the proportion of groundwater needed to sustain the ecosystem differs with GDE type. For exam</w:t>
      </w:r>
      <w:r>
        <w:t>ple, aquifer ecosystems are 100</w:t>
      </w:r>
      <w:r w:rsidRPr="002A3380">
        <w:t>% dependent on groundwater, whil</w:t>
      </w:r>
      <w:r>
        <w:t>st in</w:t>
      </w:r>
      <w:r w:rsidRPr="002A3380">
        <w:t xml:space="preserve"> river</w:t>
      </w:r>
      <w:r>
        <w:t xml:space="preserve"> </w:t>
      </w:r>
      <w:proofErr w:type="spellStart"/>
      <w:r w:rsidRPr="002A3380">
        <w:t>baseflow</w:t>
      </w:r>
      <w:proofErr w:type="spellEnd"/>
      <w:r>
        <w:t xml:space="preserve"> </w:t>
      </w:r>
      <w:r w:rsidRPr="002A3380">
        <w:t xml:space="preserve">systems </w:t>
      </w:r>
      <w:r>
        <w:t xml:space="preserve">groundwater </w:t>
      </w:r>
      <w:r w:rsidR="00680840">
        <w:t xml:space="preserve">contributions </w:t>
      </w:r>
      <w:r w:rsidRPr="002A3380">
        <w:t xml:space="preserve">may </w:t>
      </w:r>
      <w:r>
        <w:t>be volumetrically low compared to</w:t>
      </w:r>
      <w:r w:rsidRPr="002A3380">
        <w:t xml:space="preserve"> overland flow. </w:t>
      </w:r>
    </w:p>
    <w:p w14:paraId="31C8BB81" w14:textId="77777777" w:rsidR="00063AC0" w:rsidRPr="001C6D92" w:rsidRDefault="00063AC0" w:rsidP="001C6D92">
      <w:pPr>
        <w:pStyle w:val="BodyText"/>
      </w:pPr>
      <w:r>
        <w:rPr>
          <w:noProof/>
        </w:rPr>
        <w:drawing>
          <wp:anchor distT="0" distB="0" distL="114300" distR="114300" simplePos="0" relativeHeight="251864576" behindDoc="0" locked="0" layoutInCell="1" allowOverlap="1" wp14:anchorId="31C8C2D6" wp14:editId="31C8C2D7">
            <wp:simplePos x="0" y="0"/>
            <wp:positionH relativeFrom="margin">
              <wp:posOffset>3874770</wp:posOffset>
            </wp:positionH>
            <wp:positionV relativeFrom="paragraph">
              <wp:posOffset>635</wp:posOffset>
            </wp:positionV>
            <wp:extent cx="2770505" cy="1828800"/>
            <wp:effectExtent l="0" t="0" r="0" b="0"/>
            <wp:wrapThrough wrapText="bothSides">
              <wp:wrapPolygon edited="0">
                <wp:start x="0" y="0"/>
                <wp:lineTo x="0" y="21375"/>
                <wp:lineTo x="21387" y="21375"/>
                <wp:lineTo x="21387" y="0"/>
                <wp:lineTo x="0" y="0"/>
              </wp:wrapPolygon>
            </wp:wrapThrough>
            <wp:docPr id="51" name="Picture 2" descr="C:\Users\doo022\Pictures\Tans photos\P1030307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doo022\Pictures\Tans photos\P1030307v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70505" cy="1828800"/>
                    </a:xfrm>
                    <a:prstGeom prst="rect">
                      <a:avLst/>
                    </a:prstGeom>
                    <a:noFill/>
                  </pic:spPr>
                </pic:pic>
              </a:graphicData>
            </a:graphic>
            <wp14:sizeRelH relativeFrom="margin">
              <wp14:pctWidth>0</wp14:pctWidth>
            </wp14:sizeRelH>
            <wp14:sizeRelV relativeFrom="margin">
              <wp14:pctHeight>0</wp14:pctHeight>
            </wp14:sizeRelV>
          </wp:anchor>
        </w:drawing>
      </w:r>
      <w:r w:rsidRPr="002A3380">
        <w:t xml:space="preserve">Although water is one of the main factors </w:t>
      </w:r>
      <w:r>
        <w:t>required by GDE</w:t>
      </w:r>
      <w:r w:rsidRPr="002A3380">
        <w:t xml:space="preserve">s to function, it is often the </w:t>
      </w:r>
      <w:r w:rsidR="00680840">
        <w:t>accompanying</w:t>
      </w:r>
      <w:r w:rsidR="00680840" w:rsidRPr="002A3380">
        <w:t xml:space="preserve"> </w:t>
      </w:r>
      <w:r w:rsidRPr="002A3380">
        <w:t>nutrients, organic matter, dissolved minerals or</w:t>
      </w:r>
      <w:r>
        <w:t xml:space="preserve"> other </w:t>
      </w:r>
      <w:proofErr w:type="spellStart"/>
      <w:r w:rsidRPr="002A3380">
        <w:t>physico</w:t>
      </w:r>
      <w:proofErr w:type="spellEnd"/>
      <w:r w:rsidRPr="002A3380">
        <w:t xml:space="preserve">-chemical properties that are exploited by </w:t>
      </w:r>
      <w:r w:rsidR="009F667B">
        <w:t>groundwater</w:t>
      </w:r>
      <w:r w:rsidR="00680840">
        <w:t>-</w:t>
      </w:r>
      <w:r>
        <w:t>dependent</w:t>
      </w:r>
      <w:r w:rsidRPr="002A3380">
        <w:t xml:space="preserve"> plants and </w:t>
      </w:r>
      <w:r w:rsidR="00BC576D">
        <w:t>animals. Such</w:t>
      </w:r>
      <w:r>
        <w:t xml:space="preserve"> requirement for other</w:t>
      </w:r>
      <w:r w:rsidRPr="002A3380">
        <w:t xml:space="preserve"> </w:t>
      </w:r>
      <w:r w:rsidR="00BC576D" w:rsidRPr="002A3380">
        <w:t xml:space="preserve">groundwater </w:t>
      </w:r>
      <w:r w:rsidR="00BC576D">
        <w:t xml:space="preserve">components </w:t>
      </w:r>
      <w:r w:rsidRPr="002A3380">
        <w:t>potentially make</w:t>
      </w:r>
      <w:r w:rsidR="00680840">
        <w:t>s</w:t>
      </w:r>
      <w:r w:rsidRPr="002A3380">
        <w:t xml:space="preserve"> substitution by surface water (or</w:t>
      </w:r>
      <w:r w:rsidR="00680840">
        <w:t xml:space="preserve"> water treated with</w:t>
      </w:r>
      <w:r w:rsidRPr="002A3380">
        <w:t xml:space="preserve"> </w:t>
      </w:r>
      <w:r w:rsidR="00BC576D">
        <w:t>r</w:t>
      </w:r>
      <w:r w:rsidRPr="002A3380">
        <w:t xml:space="preserve">everse </w:t>
      </w:r>
      <w:r w:rsidR="00BC576D">
        <w:t>o</w:t>
      </w:r>
      <w:r w:rsidRPr="002A3380">
        <w:t xml:space="preserve">smosis) an inadequate mitigation option </w:t>
      </w:r>
      <w:r w:rsidRPr="001C6D92">
        <w:t>for some GDEs. </w:t>
      </w:r>
    </w:p>
    <w:p w14:paraId="31C8BB82" w14:textId="77777777" w:rsidR="00063AC0" w:rsidRDefault="00680840" w:rsidP="001C6D92">
      <w:pPr>
        <w:pStyle w:val="BodyText"/>
      </w:pPr>
      <w:r>
        <w:t xml:space="preserve">Impacts of </w:t>
      </w:r>
      <w:r w:rsidR="00063AC0" w:rsidRPr="001C6D92">
        <w:t xml:space="preserve">CSG and LCM </w:t>
      </w:r>
      <w:r>
        <w:t>activitie</w:t>
      </w:r>
      <w:r w:rsidRPr="001C6D92">
        <w:t xml:space="preserve">s </w:t>
      </w:r>
      <w:r w:rsidR="00063AC0" w:rsidRPr="001C6D92">
        <w:t xml:space="preserve">occur over spatial scales that </w:t>
      </w:r>
      <w:r>
        <w:t xml:space="preserve">may </w:t>
      </w:r>
      <w:r w:rsidR="00063AC0" w:rsidRPr="001C6D92">
        <w:t xml:space="preserve">extend beyond the immediate surface footprint of a project, and through temporal scales reaching decades or centuries beyond the life-of-mine. There are often </w:t>
      </w:r>
      <w:r>
        <w:t xml:space="preserve">long </w:t>
      </w:r>
      <w:r w:rsidR="00063AC0" w:rsidRPr="001C6D92">
        <w:t>lag times between an impact occurring and symptoms appearing in an ecosystem. All of this variability, coupled with the varying temporal</w:t>
      </w:r>
      <w:r>
        <w:t xml:space="preserve"> and</w:t>
      </w:r>
      <w:r w:rsidR="00063AC0" w:rsidRPr="001C6D92">
        <w:t xml:space="preserve"> spatial nature of groundwater dependence, make assessments of longer-term impacts</w:t>
      </w:r>
      <w:r w:rsidR="00063AC0" w:rsidRPr="002A3380">
        <w:t xml:space="preserve"> difficult. </w:t>
      </w:r>
      <w:r>
        <w:t>A</w:t>
      </w:r>
      <w:r w:rsidR="00063AC0" w:rsidRPr="002A3380">
        <w:t xml:space="preserve">ssessments </w:t>
      </w:r>
      <w:r>
        <w:t xml:space="preserve">must </w:t>
      </w:r>
      <w:r w:rsidR="00063AC0" w:rsidRPr="002A3380">
        <w:t>use the best available data and knowledge to forecast potential impacts into the future, focus</w:t>
      </w:r>
      <w:r>
        <w:t>ing</w:t>
      </w:r>
      <w:r w:rsidR="00063AC0" w:rsidRPr="002A3380">
        <w:t xml:space="preserve"> on</w:t>
      </w:r>
      <w:r w:rsidR="00063AC0">
        <w:t xml:space="preserve"> both</w:t>
      </w:r>
      <w:r w:rsidR="00063AC0" w:rsidRPr="002A3380">
        <w:t xml:space="preserve"> the period of </w:t>
      </w:r>
      <w:r w:rsidR="00B12A69">
        <w:t>CSG or LCM operations</w:t>
      </w:r>
      <w:r w:rsidR="00063AC0" w:rsidRPr="002A3380">
        <w:t xml:space="preserve"> and beyond</w:t>
      </w:r>
      <w:r w:rsidR="00063AC0">
        <w:t xml:space="preserve"> to </w:t>
      </w:r>
      <w:r>
        <w:t>at least</w:t>
      </w:r>
      <w:r w:rsidR="00063AC0">
        <w:t xml:space="preserve"> when</w:t>
      </w:r>
      <w:r w:rsidR="00063AC0" w:rsidRPr="002A3380">
        <w:t xml:space="preserve"> groundwater levels are modelled to return to pre-</w:t>
      </w:r>
      <w:r w:rsidR="002A6273">
        <w:t>operation</w:t>
      </w:r>
      <w:r w:rsidR="002A6273" w:rsidRPr="002A3380">
        <w:t xml:space="preserve"> </w:t>
      </w:r>
      <w:r w:rsidR="00063AC0" w:rsidRPr="002A3380">
        <w:t>levels.   </w:t>
      </w:r>
    </w:p>
    <w:p w14:paraId="31C8BB83" w14:textId="77777777" w:rsidR="009F667B" w:rsidRPr="002A3380" w:rsidRDefault="009F667B" w:rsidP="005D109D">
      <w:pPr>
        <w:pStyle w:val="Heading2"/>
      </w:pPr>
      <w:bookmarkStart w:id="18" w:name="_Toc509996460"/>
      <w:r>
        <w:t>Ca</w:t>
      </w:r>
      <w:r w:rsidR="00DA3C31">
        <w:t>u</w:t>
      </w:r>
      <w:r>
        <w:t>sal impact pathways</w:t>
      </w:r>
      <w:bookmarkEnd w:id="18"/>
    </w:p>
    <w:p w14:paraId="31C8BB84" w14:textId="77777777" w:rsidR="00063AC0" w:rsidRPr="000E3BF2" w:rsidRDefault="00063AC0" w:rsidP="00BC576D">
      <w:pPr>
        <w:pStyle w:val="BodyText"/>
      </w:pPr>
      <w:r w:rsidRPr="002A3380">
        <w:t xml:space="preserve">Many activities associated with </w:t>
      </w:r>
      <w:r w:rsidR="002A6273">
        <w:t>CSG and LCM</w:t>
      </w:r>
      <w:r w:rsidR="002A6273" w:rsidRPr="002A3380">
        <w:t xml:space="preserve"> </w:t>
      </w:r>
      <w:r w:rsidRPr="002A3380">
        <w:t>exploration, development and operation</w:t>
      </w:r>
      <w:r w:rsidR="002A6273">
        <w:t>s</w:t>
      </w:r>
      <w:r w:rsidRPr="002A3380">
        <w:t xml:space="preserve"> have the potential to impact GDEs (</w:t>
      </w:r>
      <w:r w:rsidR="001C6D92">
        <w:rPr>
          <w:highlight w:val="yellow"/>
        </w:rPr>
        <w:fldChar w:fldCharType="begin"/>
      </w:r>
      <w:r w:rsidR="001C6D92">
        <w:instrText xml:space="preserve"> REF _Ref509484152 \h </w:instrText>
      </w:r>
      <w:r w:rsidR="001C6D92">
        <w:rPr>
          <w:highlight w:val="yellow"/>
        </w:rPr>
      </w:r>
      <w:r w:rsidR="001C6D92">
        <w:rPr>
          <w:highlight w:val="yellow"/>
        </w:rPr>
        <w:fldChar w:fldCharType="separate"/>
      </w:r>
      <w:r w:rsidR="00E96B43">
        <w:t xml:space="preserve">App Table </w:t>
      </w:r>
      <w:r w:rsidR="00E96B43">
        <w:rPr>
          <w:noProof/>
        </w:rPr>
        <w:t>1</w:t>
      </w:r>
      <w:r w:rsidR="001C6D92">
        <w:rPr>
          <w:highlight w:val="yellow"/>
        </w:rPr>
        <w:fldChar w:fldCharType="end"/>
      </w:r>
      <w:r w:rsidR="001C6D92">
        <w:t>). </w:t>
      </w:r>
      <w:r>
        <w:t xml:space="preserve">The magnitude and type of impact expected </w:t>
      </w:r>
      <w:r w:rsidR="00B0314F">
        <w:t>for</w:t>
      </w:r>
      <w:r>
        <w:t xml:space="preserve"> a GDE </w:t>
      </w:r>
      <w:r w:rsidR="00680840">
        <w:t xml:space="preserve">are </w:t>
      </w:r>
      <w:r>
        <w:t>determined largely by the connecti</w:t>
      </w:r>
      <w:r w:rsidR="001C6D92">
        <w:t xml:space="preserve">on between the GDE and </w:t>
      </w:r>
      <w:r>
        <w:t xml:space="preserve">the </w:t>
      </w:r>
      <w:r w:rsidR="00AB6B3E">
        <w:t xml:space="preserve">CSG </w:t>
      </w:r>
      <w:r w:rsidRPr="000E3BF2">
        <w:t xml:space="preserve">or </w:t>
      </w:r>
      <w:r w:rsidR="00AB6B3E">
        <w:t>LCM</w:t>
      </w:r>
      <w:r w:rsidRPr="000E3BF2">
        <w:t xml:space="preserve"> </w:t>
      </w:r>
      <w:r w:rsidR="00680840">
        <w:t>activities</w:t>
      </w:r>
      <w:r w:rsidRPr="000E3BF2">
        <w:t xml:space="preserve">. This </w:t>
      </w:r>
      <w:r w:rsidR="00437168">
        <w:t>connection is referred to as</w:t>
      </w:r>
      <w:r w:rsidRPr="000E3BF2">
        <w:t xml:space="preserve"> the causal pathway of connection</w:t>
      </w:r>
      <w:r w:rsidR="00481D1D">
        <w:t xml:space="preserve"> (a logical chain of events)</w:t>
      </w:r>
      <w:r w:rsidRPr="000E3BF2">
        <w:t>, and consists of four main conduits (</w:t>
      </w:r>
      <w:r w:rsidRPr="000E3BF2">
        <w:fldChar w:fldCharType="begin"/>
      </w:r>
      <w:r w:rsidRPr="000E3BF2">
        <w:instrText xml:space="preserve"> REF _Ref506810942 \h  \* MERGEFORMAT </w:instrText>
      </w:r>
      <w:r w:rsidRPr="000E3BF2">
        <w:fldChar w:fldCharType="separate"/>
      </w:r>
      <w:r w:rsidR="00E96B43" w:rsidRPr="00000D10">
        <w:t xml:space="preserve">Figure </w:t>
      </w:r>
      <w:r w:rsidR="00E96B43">
        <w:t>3</w:t>
      </w:r>
      <w:r w:rsidRPr="000E3BF2">
        <w:fldChar w:fldCharType="end"/>
      </w:r>
      <w:r w:rsidRPr="000E3BF2">
        <w:t>, defined in greater detail in Holland et al., 2016):</w:t>
      </w:r>
    </w:p>
    <w:p w14:paraId="31C8BB85" w14:textId="77777777" w:rsidR="00063AC0" w:rsidRPr="000E3BF2" w:rsidRDefault="004A4870" w:rsidP="00F1192F">
      <w:pPr>
        <w:pStyle w:val="BodyText"/>
        <w:numPr>
          <w:ilvl w:val="0"/>
          <w:numId w:val="29"/>
        </w:numPr>
      </w:pPr>
      <w:r>
        <w:t>s</w:t>
      </w:r>
      <w:r w:rsidR="00063AC0" w:rsidRPr="000E3BF2">
        <w:t>ubsurface d</w:t>
      </w:r>
      <w:r w:rsidR="00437168">
        <w:t>epressurisation and dewatering (A</w:t>
      </w:r>
      <w:r w:rsidR="008301D4">
        <w:t>;</w:t>
      </w:r>
      <w:r w:rsidR="00437168">
        <w:t xml:space="preserve"> </w:t>
      </w:r>
      <w:r w:rsidR="00437168" w:rsidRPr="000E3BF2">
        <w:fldChar w:fldCharType="begin"/>
      </w:r>
      <w:r w:rsidR="00437168" w:rsidRPr="000E3BF2">
        <w:instrText xml:space="preserve"> REF _Ref506810942 \h  \* MERGEFORMAT </w:instrText>
      </w:r>
      <w:r w:rsidR="00437168" w:rsidRPr="000E3BF2">
        <w:fldChar w:fldCharType="separate"/>
      </w:r>
      <w:r w:rsidR="00E96B43" w:rsidRPr="00000D10">
        <w:t xml:space="preserve">Figure </w:t>
      </w:r>
      <w:r w:rsidR="00E96B43">
        <w:t>3</w:t>
      </w:r>
      <w:r w:rsidR="00437168" w:rsidRPr="000E3BF2">
        <w:fldChar w:fldCharType="end"/>
      </w:r>
      <w:r w:rsidR="00437168">
        <w:t>)</w:t>
      </w:r>
    </w:p>
    <w:p w14:paraId="31C8BB86" w14:textId="77777777" w:rsidR="00063AC0" w:rsidRPr="00C50897" w:rsidRDefault="004A4870" w:rsidP="00F1192F">
      <w:pPr>
        <w:pStyle w:val="BodyText"/>
        <w:numPr>
          <w:ilvl w:val="0"/>
          <w:numId w:val="29"/>
        </w:numPr>
      </w:pPr>
      <w:r>
        <w:t>s</w:t>
      </w:r>
      <w:r w:rsidR="00063AC0" w:rsidRPr="00C50897">
        <w:t xml:space="preserve">ubsurface physical </w:t>
      </w:r>
      <w:proofErr w:type="spellStart"/>
      <w:r w:rsidR="00063AC0" w:rsidRPr="00C50897">
        <w:t>flowpaths</w:t>
      </w:r>
      <w:proofErr w:type="spellEnd"/>
      <w:r w:rsidR="00437168">
        <w:t xml:space="preserve"> (B</w:t>
      </w:r>
      <w:r w:rsidR="008301D4">
        <w:t>;</w:t>
      </w:r>
      <w:r w:rsidR="00437168">
        <w:t xml:space="preserve"> </w:t>
      </w:r>
      <w:r w:rsidR="00437168" w:rsidRPr="000E3BF2">
        <w:fldChar w:fldCharType="begin"/>
      </w:r>
      <w:r w:rsidR="00437168" w:rsidRPr="000E3BF2">
        <w:instrText xml:space="preserve"> REF _Ref506810942 \h  \* MERGEFORMAT </w:instrText>
      </w:r>
      <w:r w:rsidR="00437168" w:rsidRPr="000E3BF2">
        <w:fldChar w:fldCharType="separate"/>
      </w:r>
      <w:r w:rsidR="00E96B43" w:rsidRPr="00000D10">
        <w:t xml:space="preserve">Figure </w:t>
      </w:r>
      <w:r w:rsidR="00E96B43">
        <w:t>3</w:t>
      </w:r>
      <w:r w:rsidR="00437168" w:rsidRPr="000E3BF2">
        <w:fldChar w:fldCharType="end"/>
      </w:r>
      <w:r w:rsidR="00437168">
        <w:t>)</w:t>
      </w:r>
    </w:p>
    <w:p w14:paraId="31C8BB87" w14:textId="77777777" w:rsidR="00063AC0" w:rsidRPr="00C50897" w:rsidRDefault="004A4870" w:rsidP="00F1192F">
      <w:pPr>
        <w:pStyle w:val="BodyText"/>
        <w:numPr>
          <w:ilvl w:val="0"/>
          <w:numId w:val="29"/>
        </w:numPr>
      </w:pPr>
      <w:r>
        <w:t>s</w:t>
      </w:r>
      <w:r w:rsidR="00063AC0" w:rsidRPr="00C50897">
        <w:t>urface water drainage</w:t>
      </w:r>
      <w:r w:rsidR="00437168">
        <w:t xml:space="preserve"> (C</w:t>
      </w:r>
      <w:r w:rsidR="008301D4">
        <w:t>;</w:t>
      </w:r>
      <w:r w:rsidR="00437168">
        <w:t xml:space="preserve"> </w:t>
      </w:r>
      <w:r w:rsidR="00437168" w:rsidRPr="000E3BF2">
        <w:fldChar w:fldCharType="begin"/>
      </w:r>
      <w:r w:rsidR="00437168" w:rsidRPr="000E3BF2">
        <w:instrText xml:space="preserve"> REF _Ref506810942 \h  \* MERGEFORMAT </w:instrText>
      </w:r>
      <w:r w:rsidR="00437168" w:rsidRPr="000E3BF2">
        <w:fldChar w:fldCharType="separate"/>
      </w:r>
      <w:r w:rsidR="00E96B43" w:rsidRPr="00000D10">
        <w:t xml:space="preserve">Figure </w:t>
      </w:r>
      <w:r w:rsidR="00E96B43">
        <w:t>3</w:t>
      </w:r>
      <w:r w:rsidR="00437168" w:rsidRPr="000E3BF2">
        <w:fldChar w:fldCharType="end"/>
      </w:r>
      <w:r w:rsidR="00437168">
        <w:t>)</w:t>
      </w:r>
    </w:p>
    <w:p w14:paraId="31C8BB88" w14:textId="77777777" w:rsidR="00063AC0" w:rsidRPr="00C50897" w:rsidRDefault="004A4870" w:rsidP="00F1192F">
      <w:pPr>
        <w:pStyle w:val="BodyText"/>
        <w:numPr>
          <w:ilvl w:val="0"/>
          <w:numId w:val="29"/>
        </w:numPr>
      </w:pPr>
      <w:proofErr w:type="gramStart"/>
      <w:r>
        <w:t>o</w:t>
      </w:r>
      <w:r w:rsidR="00063AC0" w:rsidRPr="00C50897">
        <w:t>perational</w:t>
      </w:r>
      <w:proofErr w:type="gramEnd"/>
      <w:r w:rsidR="00063AC0" w:rsidRPr="00C50897">
        <w:t xml:space="preserve"> water management</w:t>
      </w:r>
      <w:r w:rsidR="008301D4">
        <w:t xml:space="preserve"> (D;</w:t>
      </w:r>
      <w:r w:rsidR="00437168">
        <w:t xml:space="preserve"> </w:t>
      </w:r>
      <w:r w:rsidR="00437168" w:rsidRPr="000E3BF2">
        <w:fldChar w:fldCharType="begin"/>
      </w:r>
      <w:r w:rsidR="00437168" w:rsidRPr="000E3BF2">
        <w:instrText xml:space="preserve"> REF _Ref506810942 \h  \* MERGEFORMAT </w:instrText>
      </w:r>
      <w:r w:rsidR="00437168" w:rsidRPr="000E3BF2">
        <w:fldChar w:fldCharType="separate"/>
      </w:r>
      <w:r w:rsidR="00E96B43" w:rsidRPr="00000D10">
        <w:t xml:space="preserve">Figure </w:t>
      </w:r>
      <w:r w:rsidR="00E96B43">
        <w:t>3</w:t>
      </w:r>
      <w:r w:rsidR="00437168" w:rsidRPr="000E3BF2">
        <w:fldChar w:fldCharType="end"/>
      </w:r>
      <w:r w:rsidR="00437168">
        <w:t>)</w:t>
      </w:r>
      <w:r>
        <w:t>.</w:t>
      </w:r>
    </w:p>
    <w:p w14:paraId="31C8BB89" w14:textId="77777777" w:rsidR="00063AC0" w:rsidRPr="002A3380" w:rsidRDefault="00063AC0" w:rsidP="00BC576D">
      <w:pPr>
        <w:spacing w:after="0"/>
        <w:jc w:val="both"/>
        <w:textAlignment w:val="baseline"/>
        <w:rPr>
          <w:sz w:val="12"/>
          <w:szCs w:val="12"/>
        </w:rPr>
      </w:pPr>
      <w:r>
        <w:t>Once the causal pathway has been established, e</w:t>
      </w:r>
      <w:r w:rsidR="00680840">
        <w:t>ach</w:t>
      </w:r>
      <w:r>
        <w:t xml:space="preserve"> mechanism causing </w:t>
      </w:r>
      <w:r w:rsidRPr="000E3BF2">
        <w:t>change (</w:t>
      </w:r>
      <w:r w:rsidR="00820B6A">
        <w:t>i</w:t>
      </w:r>
      <w:r w:rsidR="00680840">
        <w:t>.</w:t>
      </w:r>
      <w:r w:rsidR="00820B6A">
        <w:t>e</w:t>
      </w:r>
      <w:r>
        <w:t>.</w:t>
      </w:r>
      <w:r w:rsidRPr="000E3BF2">
        <w:t xml:space="preserve"> the</w:t>
      </w:r>
      <w:r>
        <w:t xml:space="preserve"> impacting factor) needs to be considered. These </w:t>
      </w:r>
      <w:r w:rsidR="00680840">
        <w:t xml:space="preserve">mechanisms </w:t>
      </w:r>
      <w:r w:rsidRPr="002A3380">
        <w:t xml:space="preserve">can be grouped </w:t>
      </w:r>
      <w:r>
        <w:t>by activities that</w:t>
      </w:r>
      <w:r w:rsidRPr="002A3380">
        <w:t>:  </w:t>
      </w:r>
    </w:p>
    <w:p w14:paraId="31C8BB8A" w14:textId="77777777" w:rsidR="00063AC0" w:rsidRPr="00C50897" w:rsidRDefault="00063AC0" w:rsidP="00F1192F">
      <w:pPr>
        <w:pStyle w:val="BodyText"/>
        <w:numPr>
          <w:ilvl w:val="0"/>
          <w:numId w:val="30"/>
        </w:numPr>
      </w:pPr>
      <w:r w:rsidRPr="00C50897">
        <w:t xml:space="preserve">interrupt the </w:t>
      </w:r>
      <w:r>
        <w:t xml:space="preserve">hydrological </w:t>
      </w:r>
      <w:r w:rsidRPr="00C50897">
        <w:t>connection between a</w:t>
      </w:r>
      <w:r>
        <w:t xml:space="preserve"> GDE</w:t>
      </w:r>
      <w:r w:rsidRPr="00C50897">
        <w:t xml:space="preserve"> </w:t>
      </w:r>
      <w:r w:rsidR="00437168">
        <w:t>and the aquifer it depends on</w:t>
      </w:r>
    </w:p>
    <w:p w14:paraId="31C8BB8B" w14:textId="77777777" w:rsidR="00063AC0" w:rsidRPr="00C50897" w:rsidRDefault="00437168" w:rsidP="00F1192F">
      <w:pPr>
        <w:pStyle w:val="BodyText"/>
        <w:numPr>
          <w:ilvl w:val="0"/>
          <w:numId w:val="30"/>
        </w:numPr>
      </w:pPr>
      <w:r>
        <w:t>reduce groundwater quality</w:t>
      </w:r>
    </w:p>
    <w:p w14:paraId="31C8BB8C" w14:textId="77777777" w:rsidR="00063AC0" w:rsidRPr="00C50897" w:rsidRDefault="00063AC0" w:rsidP="00F1192F">
      <w:pPr>
        <w:pStyle w:val="BodyText"/>
        <w:numPr>
          <w:ilvl w:val="0"/>
          <w:numId w:val="30"/>
        </w:numPr>
      </w:pPr>
      <w:r w:rsidRPr="00C50897">
        <w:t xml:space="preserve">cause direct disturbance to the ecosystem, such as the removal of </w:t>
      </w:r>
      <w:r w:rsidR="00437168">
        <w:t>groundwater</w:t>
      </w:r>
      <w:r w:rsidR="00680840">
        <w:t>-</w:t>
      </w:r>
      <w:r>
        <w:t>dependent</w:t>
      </w:r>
      <w:r w:rsidRPr="00C50897">
        <w:t xml:space="preserve"> vegetation or excavation of aquifer material, or </w:t>
      </w:r>
    </w:p>
    <w:p w14:paraId="31C8BB8D" w14:textId="77777777" w:rsidR="00717253" w:rsidRDefault="00063AC0" w:rsidP="00F1192F">
      <w:pPr>
        <w:pStyle w:val="BodyText"/>
        <w:numPr>
          <w:ilvl w:val="0"/>
          <w:numId w:val="30"/>
        </w:numPr>
      </w:pPr>
      <w:proofErr w:type="gramStart"/>
      <w:r w:rsidRPr="00C50897">
        <w:t>result</w:t>
      </w:r>
      <w:proofErr w:type="gramEnd"/>
      <w:r w:rsidRPr="00C50897">
        <w:t> from cumulative impacts from mult</w:t>
      </w:r>
      <w:r>
        <w:t xml:space="preserve">iple </w:t>
      </w:r>
      <w:r w:rsidR="000E76BC">
        <w:t xml:space="preserve">CSG and LCM operations </w:t>
      </w:r>
      <w:r>
        <w:t>and other activities, includi</w:t>
      </w:r>
      <w:r w:rsidR="008301D4">
        <w:t>ng reduced groundwater recharge</w:t>
      </w:r>
      <w:r w:rsidR="000E76BC">
        <w:t>.</w:t>
      </w:r>
    </w:p>
    <w:p w14:paraId="31C8BB8E" w14:textId="77777777" w:rsidR="00063AC0" w:rsidRDefault="00063AC0" w:rsidP="004047FF">
      <w:pPr>
        <w:spacing w:after="0"/>
        <w:jc w:val="center"/>
        <w:textAlignment w:val="baseline"/>
        <w:rPr>
          <w:rFonts w:ascii="Arial" w:eastAsia="Times New Roman" w:hAnsi="Arial" w:cs="Arial"/>
          <w:color w:val="auto"/>
          <w:sz w:val="12"/>
          <w:szCs w:val="12"/>
        </w:rPr>
      </w:pPr>
      <w:r>
        <w:rPr>
          <w:noProof/>
        </w:rPr>
        <w:lastRenderedPageBreak/>
        <w:drawing>
          <wp:inline distT="0" distB="0" distL="0" distR="0" wp14:anchorId="31C8C2D8" wp14:editId="31C8C2D9">
            <wp:extent cx="5835961" cy="4136883"/>
            <wp:effectExtent l="0" t="0" r="0" b="0"/>
            <wp:docPr id="5" name="Picture 5" descr="Image result for coal seam mining groundwater dependent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al seam mining groundwater dependent ecosystem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73581" cy="4163550"/>
                    </a:xfrm>
                    <a:prstGeom prst="rect">
                      <a:avLst/>
                    </a:prstGeom>
                    <a:noFill/>
                    <a:ln>
                      <a:noFill/>
                    </a:ln>
                  </pic:spPr>
                </pic:pic>
              </a:graphicData>
            </a:graphic>
          </wp:inline>
        </w:drawing>
      </w:r>
    </w:p>
    <w:p w14:paraId="31C8BB8F" w14:textId="77777777" w:rsidR="00063AC0" w:rsidRDefault="00063AC0" w:rsidP="00063AC0">
      <w:pPr>
        <w:pStyle w:val="Caption"/>
      </w:pPr>
      <w:bookmarkStart w:id="19" w:name="_Ref506810942"/>
      <w:bookmarkStart w:id="20" w:name="_Toc507621939"/>
      <w:bookmarkStart w:id="21" w:name="_Toc509991070"/>
      <w:r w:rsidRPr="00000D10">
        <w:t xml:space="preserve">Figure </w:t>
      </w:r>
      <w:r w:rsidR="00085933">
        <w:fldChar w:fldCharType="begin"/>
      </w:r>
      <w:r w:rsidR="00085933">
        <w:instrText xml:space="preserve"> SEQ Figure \* ARABIC </w:instrText>
      </w:r>
      <w:r w:rsidR="00085933">
        <w:fldChar w:fldCharType="separate"/>
      </w:r>
      <w:r w:rsidR="00E96B43">
        <w:rPr>
          <w:noProof/>
        </w:rPr>
        <w:t>3</w:t>
      </w:r>
      <w:r w:rsidR="00085933">
        <w:rPr>
          <w:noProof/>
        </w:rPr>
        <w:fldChar w:fldCharType="end"/>
      </w:r>
      <w:bookmarkEnd w:id="19"/>
      <w:r w:rsidRPr="00000D10">
        <w:t>.</w:t>
      </w:r>
      <w:r>
        <w:t xml:space="preserve"> Causal pathways of </w:t>
      </w:r>
      <w:r w:rsidR="002A6273">
        <w:t xml:space="preserve">CSG or LCM </w:t>
      </w:r>
      <w:r>
        <w:t>development. SOURCE</w:t>
      </w:r>
      <w:r w:rsidRPr="00D76DFA">
        <w:t xml:space="preserve">: </w:t>
      </w:r>
      <w:bookmarkEnd w:id="20"/>
      <w:r>
        <w:fldChar w:fldCharType="begin"/>
      </w:r>
      <w:r w:rsidR="003F0E91">
        <w:instrText>HYPERLINK "http://www.bioregionalassessments.gov.au/assessments/maranoa-balonne-condamine-subregion"</w:instrText>
      </w:r>
      <w:r>
        <w:fldChar w:fldCharType="separate"/>
      </w:r>
      <w:r w:rsidR="003F0E91">
        <w:rPr>
          <w:rStyle w:val="Hyperlink"/>
        </w:rPr>
        <w:t>Bioregional Assessments</w:t>
      </w:r>
      <w:bookmarkEnd w:id="21"/>
      <w:r>
        <w:fldChar w:fldCharType="end"/>
      </w:r>
    </w:p>
    <w:p w14:paraId="31C8BB90" w14:textId="77777777" w:rsidR="00B22257" w:rsidRDefault="00B22257" w:rsidP="00820B6A">
      <w:pPr>
        <w:pStyle w:val="BodyText"/>
      </w:pPr>
    </w:p>
    <w:p w14:paraId="31C8BB91" w14:textId="77777777" w:rsidR="00F652F7" w:rsidRDefault="00B22257" w:rsidP="00820B6A">
      <w:pPr>
        <w:pStyle w:val="BodyText"/>
      </w:pPr>
      <w:r>
        <w:t>G</w:t>
      </w:r>
      <w:r w:rsidR="008301D4">
        <w:t xml:space="preserve">roundwater dewatering </w:t>
      </w:r>
      <w:r>
        <w:t xml:space="preserve">has several potential impacts </w:t>
      </w:r>
      <w:r w:rsidR="008301D4">
        <w:t>on GDEs</w:t>
      </w:r>
      <w:r>
        <w:t xml:space="preserve"> (</w:t>
      </w:r>
      <w:r w:rsidR="00820B6A">
        <w:fldChar w:fldCharType="begin"/>
      </w:r>
      <w:r w:rsidR="00820B6A">
        <w:instrText xml:space="preserve"> REF _Ref509564576 \h </w:instrText>
      </w:r>
      <w:r w:rsidR="00820B6A">
        <w:fldChar w:fldCharType="separate"/>
      </w:r>
      <w:r w:rsidR="00E96B43">
        <w:t xml:space="preserve">Figure </w:t>
      </w:r>
      <w:r w:rsidR="00E96B43">
        <w:rPr>
          <w:noProof/>
        </w:rPr>
        <w:t>4</w:t>
      </w:r>
      <w:r w:rsidR="00820B6A">
        <w:fldChar w:fldCharType="end"/>
      </w:r>
      <w:r>
        <w:rPr>
          <w:noProof/>
        </w:rPr>
        <w:t>). One impact is the</w:t>
      </w:r>
      <w:r>
        <w:t xml:space="preserve"> </w:t>
      </w:r>
      <w:r w:rsidR="008301D4">
        <w:t>l</w:t>
      </w:r>
      <w:r w:rsidR="00717253">
        <w:t xml:space="preserve">owering </w:t>
      </w:r>
      <w:r>
        <w:t xml:space="preserve">of </w:t>
      </w:r>
      <w:r w:rsidR="00717253">
        <w:t>the groundwater level around groundwater</w:t>
      </w:r>
      <w:r>
        <w:t>-</w:t>
      </w:r>
      <w:r w:rsidR="00717253">
        <w:t xml:space="preserve">dependent terrestrial vegetation </w:t>
      </w:r>
      <w:r>
        <w:t xml:space="preserve">which </w:t>
      </w:r>
      <w:r w:rsidR="00717253">
        <w:t xml:space="preserve">reduces the availability of water that can be accessed by an established vegetation root network, </w:t>
      </w:r>
      <w:r>
        <w:t xml:space="preserve">impairing </w:t>
      </w:r>
      <w:r w:rsidR="00717253">
        <w:t>the condition (or health) of the vegetation community. The response of vegetation to water stress may take years to become obvious</w:t>
      </w:r>
      <w:r>
        <w:t xml:space="preserve"> although</w:t>
      </w:r>
      <w:r w:rsidR="00717253">
        <w:t xml:space="preserve"> some vegetation communities die</w:t>
      </w:r>
      <w:r>
        <w:t xml:space="preserve"> </w:t>
      </w:r>
      <w:r w:rsidR="00717253">
        <w:t xml:space="preserve">back almost immediately (e.g. Banksia at Gnangara Mound, </w:t>
      </w:r>
      <w:r w:rsidR="00717253" w:rsidRPr="008301D4">
        <w:t>see C</w:t>
      </w:r>
      <w:r w:rsidR="004A4870">
        <w:t>ASE</w:t>
      </w:r>
      <w:r w:rsidR="00717253" w:rsidRPr="008301D4">
        <w:t xml:space="preserve"> S</w:t>
      </w:r>
      <w:r w:rsidR="004A4870">
        <w:t>TUDY</w:t>
      </w:r>
      <w:r w:rsidR="00717253" w:rsidRPr="008301D4">
        <w:t xml:space="preserve"> </w:t>
      </w:r>
      <w:r w:rsidR="008301D4">
        <w:t>6</w:t>
      </w:r>
      <w:r w:rsidR="00717253">
        <w:t>)</w:t>
      </w:r>
      <w:r>
        <w:t xml:space="preserve">. Another impact is the </w:t>
      </w:r>
      <w:r w:rsidR="008301D4">
        <w:t>l</w:t>
      </w:r>
      <w:r w:rsidR="00717253">
        <w:t xml:space="preserve">owering </w:t>
      </w:r>
      <w:r>
        <w:t xml:space="preserve">of </w:t>
      </w:r>
      <w:r w:rsidR="00717253">
        <w:t>groundwater level in unconfined aquifers or depressuris</w:t>
      </w:r>
      <w:r>
        <w:t>ation</w:t>
      </w:r>
      <w:r w:rsidR="00717253">
        <w:t xml:space="preserve"> </w:t>
      </w:r>
      <w:r>
        <w:t xml:space="preserve">of </w:t>
      </w:r>
      <w:r w:rsidR="00717253">
        <w:t>confined aquifers that supply water to springs</w:t>
      </w:r>
      <w:r>
        <w:t>. This</w:t>
      </w:r>
      <w:r w:rsidR="00717253">
        <w:t xml:space="preserve"> reduces groundwater discharge to the springs and the surrounding dependent vegetation, reducing spring flow and riparian vegetation condition</w:t>
      </w:r>
      <w:r>
        <w:t xml:space="preserve">. </w:t>
      </w:r>
    </w:p>
    <w:p w14:paraId="31C8BB92" w14:textId="77777777" w:rsidR="00717253" w:rsidRDefault="00B22257" w:rsidP="00820B6A">
      <w:pPr>
        <w:pStyle w:val="BodyText"/>
      </w:pPr>
      <w:r>
        <w:t>A third impact is the</w:t>
      </w:r>
      <w:r w:rsidR="00820B6A">
        <w:t xml:space="preserve"> </w:t>
      </w:r>
      <w:r w:rsidR="008301D4">
        <w:t>l</w:t>
      </w:r>
      <w:r w:rsidR="00717253">
        <w:t xml:space="preserve">owering </w:t>
      </w:r>
      <w:r>
        <w:t xml:space="preserve">of </w:t>
      </w:r>
      <w:r w:rsidR="00717253">
        <w:t xml:space="preserve">groundwater levels near rivers </w:t>
      </w:r>
      <w:r>
        <w:t xml:space="preserve">which </w:t>
      </w:r>
      <w:r w:rsidR="00717253">
        <w:t>can reduce groundwater discharge to rivers, chang</w:t>
      </w:r>
      <w:r>
        <w:t>ing</w:t>
      </w:r>
      <w:r w:rsidR="00717253">
        <w:t xml:space="preserve"> surface water quality (e.g. temperature, salinity)</w:t>
      </w:r>
      <w:r w:rsidR="00F652F7">
        <w:t>. There may also be</w:t>
      </w:r>
      <w:r w:rsidR="00717253">
        <w:t xml:space="preserve"> reduc</w:t>
      </w:r>
      <w:r w:rsidR="00F652F7">
        <w:t>tions in</w:t>
      </w:r>
      <w:r w:rsidR="00717253">
        <w:t xml:space="preserve"> surface water flow, particularly during low flow (</w:t>
      </w:r>
      <w:proofErr w:type="spellStart"/>
      <w:r w:rsidR="00717253">
        <w:t>baseflow</w:t>
      </w:r>
      <w:proofErr w:type="spellEnd"/>
      <w:r w:rsidR="00717253">
        <w:t>) conditions</w:t>
      </w:r>
      <w:r w:rsidR="00F652F7">
        <w:t xml:space="preserve">, as well as </w:t>
      </w:r>
      <w:r w:rsidR="00717253">
        <w:t>more cease</w:t>
      </w:r>
      <w:r w:rsidR="00F652F7">
        <w:t>-</w:t>
      </w:r>
      <w:r w:rsidR="00717253">
        <w:t>to</w:t>
      </w:r>
      <w:r w:rsidR="00F652F7">
        <w:t>-</w:t>
      </w:r>
      <w:r w:rsidR="00717253">
        <w:t>flow events than under natural conditions</w:t>
      </w:r>
      <w:r w:rsidR="00820B6A">
        <w:t xml:space="preserve">. </w:t>
      </w:r>
      <w:r w:rsidR="00F652F7">
        <w:t>A</w:t>
      </w:r>
      <w:r w:rsidR="00717253">
        <w:t xml:space="preserve"> permanently flowing river may become ephemeral, </w:t>
      </w:r>
      <w:r w:rsidR="00F652F7">
        <w:t xml:space="preserve">drastically </w:t>
      </w:r>
      <w:r w:rsidR="00717253">
        <w:t xml:space="preserve">changing </w:t>
      </w:r>
      <w:r w:rsidR="00F652F7">
        <w:t xml:space="preserve">its </w:t>
      </w:r>
      <w:r w:rsidR="00717253">
        <w:t>aquatic ecosystem</w:t>
      </w:r>
      <w:r w:rsidR="008301D4">
        <w:t xml:space="preserve"> characteristics</w:t>
      </w:r>
      <w:r w:rsidR="00717253">
        <w:t xml:space="preserve">. </w:t>
      </w:r>
      <w:r w:rsidR="00F652F7">
        <w:t xml:space="preserve">Lowering groundwater levels near rivers </w:t>
      </w:r>
      <w:r w:rsidR="00717253">
        <w:t>also reduce</w:t>
      </w:r>
      <w:r w:rsidR="00F652F7">
        <w:t>s</w:t>
      </w:r>
      <w:r w:rsidR="00717253">
        <w:t xml:space="preserve"> the availability of water to surrounding </w:t>
      </w:r>
      <w:r w:rsidR="00F652F7">
        <w:t>groundwater-</w:t>
      </w:r>
      <w:r w:rsidR="00717253">
        <w:t>dependent riparian vegetation and may put them under water stress</w:t>
      </w:r>
      <w:r w:rsidR="00DC54C8">
        <w:t>,</w:t>
      </w:r>
      <w:r w:rsidR="00717253">
        <w:t xml:space="preserve"> </w:t>
      </w:r>
      <w:r w:rsidR="00F652F7">
        <w:t xml:space="preserve">impairing </w:t>
      </w:r>
      <w:r w:rsidR="00717253">
        <w:t>riparian vegetation community condition</w:t>
      </w:r>
      <w:r w:rsidR="008301D4">
        <w:t xml:space="preserve"> (Doody et al., 2009)</w:t>
      </w:r>
      <w:r w:rsidR="00717253">
        <w:t xml:space="preserve">. </w:t>
      </w:r>
      <w:r w:rsidR="00F652F7">
        <w:t>T</w:t>
      </w:r>
      <w:r w:rsidR="00717253">
        <w:t>he direction of groundwater flow</w:t>
      </w:r>
      <w:r w:rsidR="00F652F7">
        <w:t xml:space="preserve"> can be reversed by lowered groundwater levels near rivers</w:t>
      </w:r>
      <w:r w:rsidR="00717253">
        <w:t xml:space="preserve"> such that surface water recharges the aquifer, changing </w:t>
      </w:r>
      <w:r w:rsidR="00F652F7">
        <w:t xml:space="preserve">the river </w:t>
      </w:r>
      <w:r w:rsidR="00717253">
        <w:t>from gaining to losing, further reducing surface water flow and changing water quality</w:t>
      </w:r>
      <w:r w:rsidR="0040235C">
        <w:t>,</w:t>
      </w:r>
      <w:r w:rsidR="00717253">
        <w:t xml:space="preserve"> </w:t>
      </w:r>
      <w:r w:rsidR="00DC54C8">
        <w:t>so</w:t>
      </w:r>
      <w:r w:rsidR="00717253">
        <w:t xml:space="preserve"> it may no longer be suitable habitat for native aquatic fauna </w:t>
      </w:r>
      <w:r w:rsidR="00F652F7">
        <w:t xml:space="preserve">but may </w:t>
      </w:r>
      <w:r w:rsidR="00717253">
        <w:t>favour exotic species.</w:t>
      </w:r>
    </w:p>
    <w:p w14:paraId="31C8BB93" w14:textId="77777777" w:rsidR="00717253" w:rsidRDefault="00F652F7" w:rsidP="00820B6A">
      <w:pPr>
        <w:pStyle w:val="BodyText"/>
      </w:pPr>
      <w:r>
        <w:t>T</w:t>
      </w:r>
      <w:r w:rsidR="00717253">
        <w:t>he impact</w:t>
      </w:r>
      <w:r>
        <w:t>s</w:t>
      </w:r>
      <w:r w:rsidR="00717253">
        <w:t xml:space="preserve"> of lowering groundwater levels </w:t>
      </w:r>
      <w:r>
        <w:t xml:space="preserve">near </w:t>
      </w:r>
      <w:r w:rsidR="00717253">
        <w:t xml:space="preserve">wetlands </w:t>
      </w:r>
      <w:r>
        <w:t>resemble</w:t>
      </w:r>
      <w:r w:rsidR="00717253">
        <w:t xml:space="preserve"> th</w:t>
      </w:r>
      <w:r>
        <w:t>ose listed above for</w:t>
      </w:r>
      <w:r w:rsidR="00717253">
        <w:t xml:space="preserve"> rivers</w:t>
      </w:r>
      <w:r>
        <w:t>. H</w:t>
      </w:r>
      <w:r w:rsidR="00717253">
        <w:t>owever</w:t>
      </w:r>
      <w:r>
        <w:t>,</w:t>
      </w:r>
      <w:r w:rsidR="00717253">
        <w:t xml:space="preserve"> there are </w:t>
      </w:r>
      <w:r>
        <w:t>several</w:t>
      </w:r>
      <w:r w:rsidR="00717253">
        <w:t xml:space="preserve"> additional processes that may be disrupted related to </w:t>
      </w:r>
      <w:r>
        <w:t xml:space="preserve">the </w:t>
      </w:r>
      <w:r w:rsidR="00717253">
        <w:t>reduced size</w:t>
      </w:r>
      <w:r>
        <w:t xml:space="preserve"> and </w:t>
      </w:r>
      <w:r w:rsidR="00717253">
        <w:t>extent of wetlands, such as</w:t>
      </w:r>
      <w:r>
        <w:t xml:space="preserve"> </w:t>
      </w:r>
      <w:r w:rsidR="00DC54C8">
        <w:t>p</w:t>
      </w:r>
      <w:r w:rsidR="00717253">
        <w:t>otential exposure of acid sul</w:t>
      </w:r>
      <w:r w:rsidR="00DB6F7F">
        <w:t>ph</w:t>
      </w:r>
      <w:r w:rsidR="00717253">
        <w:t>ate soils resulting in water acidification (e.g. Sommer and Horwitz, 2009) and</w:t>
      </w:r>
      <w:r>
        <w:t xml:space="preserve"> </w:t>
      </w:r>
      <w:r w:rsidR="00DC54C8">
        <w:t>r</w:t>
      </w:r>
      <w:r w:rsidR="00717253">
        <w:t xml:space="preserve">educed production of peat (e.g. </w:t>
      </w:r>
      <w:proofErr w:type="spellStart"/>
      <w:r w:rsidR="00717253">
        <w:t>Armandine</w:t>
      </w:r>
      <w:proofErr w:type="spellEnd"/>
      <w:r w:rsidR="00717253">
        <w:t xml:space="preserve"> Les </w:t>
      </w:r>
      <w:proofErr w:type="spellStart"/>
      <w:r w:rsidR="00717253">
        <w:t>Landes</w:t>
      </w:r>
      <w:proofErr w:type="spellEnd"/>
      <w:r w:rsidR="00717253">
        <w:t xml:space="preserve"> et al., 2014)</w:t>
      </w:r>
      <w:r>
        <w:t>.</w:t>
      </w:r>
    </w:p>
    <w:p w14:paraId="31C8BB94" w14:textId="77777777" w:rsidR="00063AC0" w:rsidRPr="00063AC0" w:rsidRDefault="00063AC0" w:rsidP="00063AC0">
      <w:pPr>
        <w:pStyle w:val="BodyText"/>
      </w:pPr>
    </w:p>
    <w:p w14:paraId="31C8BB95" w14:textId="77777777" w:rsidR="00922EBB" w:rsidRDefault="00922EBB" w:rsidP="00073D8A">
      <w:pPr>
        <w:pStyle w:val="Caption"/>
        <w:jc w:val="center"/>
        <w:rPr>
          <w:noProof/>
          <w:color w:val="FF0000"/>
        </w:rPr>
      </w:pPr>
      <w:r>
        <w:rPr>
          <w:noProof/>
          <w:color w:val="FF0000"/>
        </w:rPr>
        <w:lastRenderedPageBreak/>
        <w:drawing>
          <wp:inline distT="0" distB="0" distL="0" distR="0" wp14:anchorId="31C8C2DA" wp14:editId="31C8C2DB">
            <wp:extent cx="4915322" cy="2698955"/>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pacts of pumping on GDEs.gif"/>
                    <pic:cNvPicPr/>
                  </pic:nvPicPr>
                  <pic:blipFill>
                    <a:blip r:embed="rId38" cstate="email">
                      <a:extLst>
                        <a:ext uri="{28A0092B-C50C-407E-A947-70E740481C1C}">
                          <a14:useLocalDpi xmlns:a14="http://schemas.microsoft.com/office/drawing/2010/main"/>
                        </a:ext>
                      </a:extLst>
                    </a:blip>
                    <a:stretch>
                      <a:fillRect/>
                    </a:stretch>
                  </pic:blipFill>
                  <pic:spPr>
                    <a:xfrm>
                      <a:off x="0" y="0"/>
                      <a:ext cx="4923252" cy="2703309"/>
                    </a:xfrm>
                    <a:prstGeom prst="rect">
                      <a:avLst/>
                    </a:prstGeom>
                  </pic:spPr>
                </pic:pic>
              </a:graphicData>
            </a:graphic>
          </wp:inline>
        </w:drawing>
      </w:r>
    </w:p>
    <w:p w14:paraId="31C8BB96" w14:textId="77777777" w:rsidR="00063AC0" w:rsidRDefault="00063AC0" w:rsidP="00063AC0">
      <w:pPr>
        <w:pStyle w:val="Caption"/>
      </w:pPr>
      <w:bookmarkStart w:id="22" w:name="_Ref509564576"/>
      <w:bookmarkStart w:id="23" w:name="_Toc509991071"/>
      <w:r>
        <w:t xml:space="preserve">Figure </w:t>
      </w:r>
      <w:r w:rsidR="00085933">
        <w:fldChar w:fldCharType="begin"/>
      </w:r>
      <w:r w:rsidR="00085933">
        <w:instrText xml:space="preserve"> SEQ Figure</w:instrText>
      </w:r>
      <w:r w:rsidR="00085933">
        <w:instrText xml:space="preserve"> \* ARABIC </w:instrText>
      </w:r>
      <w:r w:rsidR="00085933">
        <w:fldChar w:fldCharType="separate"/>
      </w:r>
      <w:r w:rsidR="00E96B43">
        <w:rPr>
          <w:noProof/>
        </w:rPr>
        <w:t>4</w:t>
      </w:r>
      <w:r w:rsidR="00085933">
        <w:rPr>
          <w:noProof/>
        </w:rPr>
        <w:fldChar w:fldCharType="end"/>
      </w:r>
      <w:bookmarkEnd w:id="22"/>
      <w:r>
        <w:t xml:space="preserve">. Diagram demonstrating some impacts from Causal Pathway </w:t>
      </w:r>
      <w:proofErr w:type="gramStart"/>
      <w:r>
        <w:t>A</w:t>
      </w:r>
      <w:proofErr w:type="gramEnd"/>
      <w:r w:rsidR="00F652F7">
        <w:t xml:space="preserve"> </w:t>
      </w:r>
      <w:r>
        <w:t>- subsurface dewatering or lowering groundwater levels</w:t>
      </w:r>
      <w:r w:rsidR="00C333C6">
        <w:t>,</w:t>
      </w:r>
      <w:r>
        <w:t xml:space="preserve"> and how GDEs are </w:t>
      </w:r>
      <w:r w:rsidR="003F0E91">
        <w:t>potentially</w:t>
      </w:r>
      <w:r>
        <w:t xml:space="preserve"> impacted (SOURCE: </w:t>
      </w:r>
      <w:hyperlink r:id="rId39" w:history="1">
        <w:proofErr w:type="spellStart"/>
        <w:r w:rsidR="00922EBB">
          <w:rPr>
            <w:rStyle w:val="Hyperlink"/>
          </w:rPr>
          <w:t>Eamus</w:t>
        </w:r>
        <w:proofErr w:type="spellEnd"/>
      </w:hyperlink>
      <w:r w:rsidR="00922EBB">
        <w:rPr>
          <w:rStyle w:val="Hyperlink"/>
        </w:rPr>
        <w:t xml:space="preserve"> et al., 2016</w:t>
      </w:r>
      <w:r>
        <w:t>)</w:t>
      </w:r>
      <w:bookmarkEnd w:id="23"/>
    </w:p>
    <w:p w14:paraId="31C8BB97" w14:textId="77777777" w:rsidR="00063AC0" w:rsidRDefault="00063AC0" w:rsidP="00856547">
      <w:pPr>
        <w:pStyle w:val="Heading3"/>
      </w:pPr>
      <w:bookmarkStart w:id="24" w:name="_Toc509996461"/>
      <w:r w:rsidRPr="00102EC7">
        <w:t>Interrupted connectivity</w:t>
      </w:r>
      <w:bookmarkEnd w:id="24"/>
    </w:p>
    <w:p w14:paraId="31C8BB98" w14:textId="77777777" w:rsidR="00063AC0" w:rsidRPr="002A3380" w:rsidRDefault="00063AC0" w:rsidP="00960D6A">
      <w:pPr>
        <w:pStyle w:val="BodyText"/>
      </w:pPr>
      <w:r w:rsidRPr="002A3380">
        <w:t>GDEs can decline in condition when the ecosystem becomes</w:t>
      </w:r>
      <w:r>
        <w:t xml:space="preserve"> hydrologically</w:t>
      </w:r>
      <w:r w:rsidRPr="002A3380">
        <w:t xml:space="preserve"> isolated from the aquifer it is dependent on. </w:t>
      </w:r>
      <w:r w:rsidR="009F667B">
        <w:t>I</w:t>
      </w:r>
      <w:r w:rsidRPr="002A3380">
        <w:t>solation may be permanent or temporary, but its occurrence at a critical point in the life history of a key organism</w:t>
      </w:r>
      <w:r w:rsidR="000F758D">
        <w:t xml:space="preserve"> can have</w:t>
      </w:r>
      <w:r w:rsidRPr="002A3380">
        <w:t xml:space="preserve"> a ne</w:t>
      </w:r>
      <w:r w:rsidR="003927CF">
        <w:t>gative impact on GDE function. </w:t>
      </w:r>
      <w:r>
        <w:t>Frequent or sustained disconnection can irreversibly damage GDEs.</w:t>
      </w:r>
      <w:r w:rsidR="00F1057E">
        <w:t xml:space="preserve"> </w:t>
      </w:r>
      <w:r w:rsidR="000F758D">
        <w:t xml:space="preserve">For example, </w:t>
      </w:r>
      <w:r w:rsidR="00F1057E">
        <w:t>Kath et</w:t>
      </w:r>
      <w:r w:rsidR="00987D84">
        <w:t xml:space="preserve"> </w:t>
      </w:r>
      <w:r w:rsidR="00F1057E">
        <w:t>al.</w:t>
      </w:r>
      <w:r w:rsidR="009F4040">
        <w:t>,</w:t>
      </w:r>
      <w:r w:rsidR="00F1057E">
        <w:t xml:space="preserve"> (2014) demonstrated a relationship between extended periods of groundwater disconnection and canopy condition </w:t>
      </w:r>
      <w:r w:rsidR="003927CF">
        <w:t>decline</w:t>
      </w:r>
      <w:r w:rsidR="000F758D">
        <w:t>,</w:t>
      </w:r>
      <w:r w:rsidR="003927CF">
        <w:t xml:space="preserve"> </w:t>
      </w:r>
      <w:r w:rsidR="00F1057E">
        <w:t xml:space="preserve">including instances of severe dieback in </w:t>
      </w:r>
      <w:r w:rsidR="00F1057E" w:rsidRPr="00F1057E">
        <w:rPr>
          <w:i/>
        </w:rPr>
        <w:t xml:space="preserve">Eucalyptus </w:t>
      </w:r>
      <w:proofErr w:type="spellStart"/>
      <w:r w:rsidR="00F1057E" w:rsidRPr="00F1057E">
        <w:rPr>
          <w:i/>
        </w:rPr>
        <w:t>camaldulensis</w:t>
      </w:r>
      <w:proofErr w:type="spellEnd"/>
      <w:r w:rsidR="00F1057E">
        <w:t xml:space="preserve"> </w:t>
      </w:r>
      <w:r w:rsidR="003927CF">
        <w:t xml:space="preserve">(River Red Gum) </w:t>
      </w:r>
      <w:r w:rsidR="00F1057E">
        <w:t xml:space="preserve">and </w:t>
      </w:r>
      <w:r w:rsidR="00F1057E" w:rsidRPr="00F1057E">
        <w:rPr>
          <w:i/>
        </w:rPr>
        <w:t xml:space="preserve">E. </w:t>
      </w:r>
      <w:proofErr w:type="spellStart"/>
      <w:r w:rsidR="00F1057E" w:rsidRPr="00F1057E">
        <w:rPr>
          <w:i/>
        </w:rPr>
        <w:t>populnea</w:t>
      </w:r>
      <w:proofErr w:type="spellEnd"/>
      <w:r w:rsidR="00F1057E">
        <w:t>.</w:t>
      </w:r>
    </w:p>
    <w:p w14:paraId="31C8BB99" w14:textId="77777777" w:rsidR="00063AC0" w:rsidRDefault="00063AC0" w:rsidP="00960D6A">
      <w:pPr>
        <w:pStyle w:val="BodyText"/>
      </w:pPr>
      <w:r w:rsidRPr="002A3380">
        <w:t>It is also important to consider interruptions in connectivity between aquifers and their recharge areas, as this can lead to a gradual decline in water level and altered groundwater </w:t>
      </w:r>
      <w:proofErr w:type="spellStart"/>
      <w:r w:rsidRPr="002A3380">
        <w:t>physico</w:t>
      </w:r>
      <w:proofErr w:type="spellEnd"/>
      <w:r w:rsidRPr="002A3380">
        <w:t>-chemistry. Factors on the land surface that alter groundwater recharge patterns include river diversion, </w:t>
      </w:r>
      <w:r w:rsidR="000F758D">
        <w:t xml:space="preserve">construction of </w:t>
      </w:r>
      <w:r w:rsidRPr="002A3380">
        <w:t>surface infrastructure, and changes in topography as mine pits progress or longwall panels collapse. Many GDEs also depend</w:t>
      </w:r>
      <w:r w:rsidR="000F758D">
        <w:t xml:space="preserve"> on</w:t>
      </w:r>
      <w:r w:rsidRPr="002A3380">
        <w:t xml:space="preserve"> surface water for part of the</w:t>
      </w:r>
      <w:r>
        <w:t xml:space="preserve"> time</w:t>
      </w:r>
      <w:r w:rsidRPr="002A3380">
        <w:t xml:space="preserve">, so their </w:t>
      </w:r>
      <w:r>
        <w:t xml:space="preserve">biodiversity and ecological processes </w:t>
      </w:r>
      <w:r w:rsidR="000F758D">
        <w:t>may</w:t>
      </w:r>
      <w:r w:rsidR="000F758D" w:rsidRPr="002A3380">
        <w:t xml:space="preserve"> </w:t>
      </w:r>
      <w:r w:rsidRPr="002A3380">
        <w:t xml:space="preserve">be </w:t>
      </w:r>
      <w:r>
        <w:t>impacted</w:t>
      </w:r>
      <w:r w:rsidR="003927CF">
        <w:t xml:space="preserve"> if</w:t>
      </w:r>
      <w:r w:rsidRPr="002A3380">
        <w:t xml:space="preserve"> surface water flow and </w:t>
      </w:r>
      <w:r w:rsidR="00AE77A4" w:rsidRPr="00AE6AFB">
        <w:rPr>
          <w:noProof/>
        </w:rPr>
        <w:drawing>
          <wp:anchor distT="0" distB="0" distL="114300" distR="114300" simplePos="0" relativeHeight="251865600" behindDoc="0" locked="0" layoutInCell="1" allowOverlap="1" wp14:anchorId="31C8C2DC" wp14:editId="31C8C2DD">
            <wp:simplePos x="0" y="0"/>
            <wp:positionH relativeFrom="margin">
              <wp:align>right</wp:align>
            </wp:positionH>
            <wp:positionV relativeFrom="paragraph">
              <wp:posOffset>774065</wp:posOffset>
            </wp:positionV>
            <wp:extent cx="2094230" cy="2599690"/>
            <wp:effectExtent l="0" t="0" r="1270" b="0"/>
            <wp:wrapThrough wrapText="bothSides">
              <wp:wrapPolygon edited="0">
                <wp:start x="0" y="0"/>
                <wp:lineTo x="0" y="21368"/>
                <wp:lineTo x="21417" y="21368"/>
                <wp:lineTo x="21417" y="0"/>
                <wp:lineTo x="0" y="0"/>
              </wp:wrapPolygon>
            </wp:wrapThrough>
            <wp:docPr id="61444" name="Picture 4" descr="C:\Users\doo022\Documents\Work\willows\Remote Sensing\RemoteSensing_MS\HP\Images\Fig3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4" descr="C:\Users\doo022\Documents\Work\willows\Remote Sensing\RemoteSensing_MS\HP\Images\Fig3_new.TIF"/>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094230" cy="2599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380">
        <w:t>volume</w:t>
      </w:r>
      <w:r w:rsidR="003927CF">
        <w:t xml:space="preserve"> changes</w:t>
      </w:r>
      <w:r w:rsidRPr="002A3380">
        <w:t>.  </w:t>
      </w:r>
    </w:p>
    <w:p w14:paraId="31C8BB9A" w14:textId="77777777" w:rsidR="00063AC0" w:rsidRPr="002A3380" w:rsidRDefault="009F667B" w:rsidP="00960D6A">
      <w:pPr>
        <w:pStyle w:val="BodyText"/>
        <w:rPr>
          <w:sz w:val="12"/>
          <w:szCs w:val="12"/>
        </w:rPr>
      </w:pPr>
      <w:r>
        <w:t>CSG</w:t>
      </w:r>
      <w:r w:rsidR="00063AC0" w:rsidRPr="002A3380">
        <w:t xml:space="preserve"> and </w:t>
      </w:r>
      <w:r>
        <w:t xml:space="preserve">LCM </w:t>
      </w:r>
      <w:r w:rsidR="00063AC0" w:rsidRPr="002A3380">
        <w:t>activities that cause interrupted connectivity include: </w:t>
      </w:r>
    </w:p>
    <w:p w14:paraId="31C8BB9B" w14:textId="77777777" w:rsidR="00063AC0" w:rsidRPr="00675DB0" w:rsidRDefault="00B97811" w:rsidP="00F1192F">
      <w:pPr>
        <w:pStyle w:val="BodyText"/>
        <w:numPr>
          <w:ilvl w:val="0"/>
          <w:numId w:val="31"/>
        </w:numPr>
      </w:pPr>
      <w:proofErr w:type="gramStart"/>
      <w:r>
        <w:t>d</w:t>
      </w:r>
      <w:r w:rsidR="00063AC0" w:rsidRPr="00675DB0">
        <w:t>ewatering</w:t>
      </w:r>
      <w:proofErr w:type="gramEnd"/>
      <w:r w:rsidR="00063AC0" w:rsidRPr="00675DB0">
        <w:t> unconfined aquifers</w:t>
      </w:r>
      <w:r w:rsidR="00320A5B">
        <w:t>, which</w:t>
      </w:r>
      <w:r w:rsidR="00AB6B3E">
        <w:t xml:space="preserve"> can lower the </w:t>
      </w:r>
      <w:proofErr w:type="spellStart"/>
      <w:r w:rsidR="00AB6B3E">
        <w:t>water</w:t>
      </w:r>
      <w:r w:rsidR="00063AC0" w:rsidRPr="00675DB0">
        <w:t>table</w:t>
      </w:r>
      <w:proofErr w:type="spellEnd"/>
      <w:r w:rsidR="00063AC0" w:rsidRPr="00675DB0">
        <w:t xml:space="preserve"> to a depth </w:t>
      </w:r>
      <w:r w:rsidR="009F667B">
        <w:t>that</w:t>
      </w:r>
      <w:r w:rsidR="00063AC0" w:rsidRPr="00675DB0">
        <w:t xml:space="preserve"> is inaccessible to tree roots, river </w:t>
      </w:r>
      <w:proofErr w:type="spellStart"/>
      <w:r w:rsidR="00063AC0" w:rsidRPr="00675DB0">
        <w:t>baseflow</w:t>
      </w:r>
      <w:proofErr w:type="spellEnd"/>
      <w:r w:rsidR="00063AC0" w:rsidRPr="00675DB0">
        <w:t> systems and we</w:t>
      </w:r>
      <w:r w:rsidR="003927CF">
        <w:t xml:space="preserve">tlands. Aquifer dewatering can </w:t>
      </w:r>
      <w:r w:rsidR="00320A5B">
        <w:t xml:space="preserve">also </w:t>
      </w:r>
      <w:r w:rsidR="003927CF">
        <w:t>alter</w:t>
      </w:r>
      <w:r w:rsidR="00063AC0" w:rsidRPr="00675DB0">
        <w:t xml:space="preserve"> the volume of </w:t>
      </w:r>
      <w:r w:rsidR="000F758D">
        <w:t xml:space="preserve">saturated </w:t>
      </w:r>
      <w:r w:rsidR="00063AC0" w:rsidRPr="00675DB0">
        <w:t>sediment</w:t>
      </w:r>
      <w:r w:rsidR="000F758D">
        <w:t>s</w:t>
      </w:r>
      <w:r w:rsidR="00063AC0" w:rsidRPr="00675DB0">
        <w:t xml:space="preserve"> available for habitation by stygofauna commu</w:t>
      </w:r>
      <w:r w:rsidR="00AB6B3E">
        <w:t xml:space="preserve">nities, and lower the </w:t>
      </w:r>
      <w:proofErr w:type="spellStart"/>
      <w:r w:rsidR="00AB6B3E">
        <w:t>water</w:t>
      </w:r>
      <w:r w:rsidR="00063AC0" w:rsidRPr="00675DB0">
        <w:t>table</w:t>
      </w:r>
      <w:proofErr w:type="spellEnd"/>
      <w:r w:rsidR="00063AC0" w:rsidRPr="00675DB0">
        <w:t xml:space="preserve"> below a threshold where surface</w:t>
      </w:r>
      <w:r w:rsidR="000F758D">
        <w:t>-</w:t>
      </w:r>
      <w:r w:rsidR="00063AC0" w:rsidRPr="00675DB0">
        <w:t>derived organic matter and oxygen become limiting</w:t>
      </w:r>
      <w:r w:rsidR="000F758D">
        <w:t>.</w:t>
      </w:r>
    </w:p>
    <w:p w14:paraId="31C8BB9C" w14:textId="77777777" w:rsidR="00063AC0" w:rsidRPr="00675DB0" w:rsidRDefault="00B97811" w:rsidP="000F758D">
      <w:pPr>
        <w:pStyle w:val="BodyText"/>
        <w:numPr>
          <w:ilvl w:val="0"/>
          <w:numId w:val="31"/>
        </w:numPr>
      </w:pPr>
      <w:r>
        <w:t>d</w:t>
      </w:r>
      <w:r w:rsidR="00063AC0" w:rsidRPr="00675DB0">
        <w:t>epressurisation of confined aquifers</w:t>
      </w:r>
      <w:r w:rsidR="000F758D">
        <w:t>, thus r</w:t>
      </w:r>
      <w:r w:rsidR="00063AC0" w:rsidRPr="00675DB0">
        <w:t xml:space="preserve">emoving water, gas or rock from confined aquifers </w:t>
      </w:r>
      <w:r w:rsidR="000F758D">
        <w:t xml:space="preserve">that </w:t>
      </w:r>
      <w:r w:rsidR="00063AC0" w:rsidRPr="00675DB0">
        <w:t>may lead to a loss in the hydraulic pressure pushing water to the surface at springs or into rivers</w:t>
      </w:r>
      <w:r w:rsidR="00320A5B">
        <w:t>.</w:t>
      </w:r>
    </w:p>
    <w:p w14:paraId="31C8BB9D" w14:textId="77777777" w:rsidR="0040235C" w:rsidRDefault="00B97811" w:rsidP="00991F83">
      <w:pPr>
        <w:pStyle w:val="BodyText"/>
        <w:numPr>
          <w:ilvl w:val="0"/>
          <w:numId w:val="31"/>
        </w:numPr>
      </w:pPr>
      <w:proofErr w:type="gramStart"/>
      <w:r>
        <w:t>c</w:t>
      </w:r>
      <w:r w:rsidR="00063AC0" w:rsidRPr="00675DB0">
        <w:t>hanges</w:t>
      </w:r>
      <w:proofErr w:type="gramEnd"/>
      <w:r w:rsidR="00063AC0" w:rsidRPr="00675DB0">
        <w:t xml:space="preserve"> to aquifer recharge patterns</w:t>
      </w:r>
      <w:r w:rsidR="000F758D">
        <w:t xml:space="preserve">, potentially impacting </w:t>
      </w:r>
      <w:r w:rsidR="00063AC0" w:rsidRPr="00675DB0">
        <w:t xml:space="preserve">hotspots </w:t>
      </w:r>
      <w:r w:rsidR="000F758D">
        <w:t>of</w:t>
      </w:r>
      <w:r w:rsidR="000F758D" w:rsidRPr="00675DB0">
        <w:t xml:space="preserve"> </w:t>
      </w:r>
      <w:r w:rsidR="00063AC0" w:rsidRPr="00675DB0">
        <w:t>stygofauna diversity</w:t>
      </w:r>
      <w:r w:rsidR="00320A5B">
        <w:t xml:space="preserve"> that occur in recharge areas</w:t>
      </w:r>
      <w:r w:rsidR="00063AC0" w:rsidRPr="00675DB0">
        <w:t xml:space="preserve">. Reducing recharge, either through paving or compacting the land surface, or diverting runoff and river water, can </w:t>
      </w:r>
      <w:r w:rsidR="009F667B">
        <w:t>impact</w:t>
      </w:r>
      <w:r w:rsidR="00063AC0" w:rsidRPr="00675DB0">
        <w:t xml:space="preserve"> aquifer ecosystems</w:t>
      </w:r>
      <w:r w:rsidR="00320A5B">
        <w:t>,</w:t>
      </w:r>
      <w:r w:rsidR="000F758D">
        <w:t xml:space="preserve"> </w:t>
      </w:r>
      <w:r w:rsidR="00063AC0" w:rsidRPr="00675DB0">
        <w:t xml:space="preserve">reduce </w:t>
      </w:r>
      <w:r w:rsidR="007F17EB">
        <w:t xml:space="preserve">surface </w:t>
      </w:r>
      <w:r w:rsidR="00063AC0" w:rsidRPr="00675DB0">
        <w:t xml:space="preserve">water levels </w:t>
      </w:r>
      <w:proofErr w:type="gramStart"/>
      <w:r w:rsidR="00063AC0" w:rsidRPr="00675DB0">
        <w:t>and</w:t>
      </w:r>
      <w:proofErr w:type="gramEnd"/>
      <w:r w:rsidR="00063AC0" w:rsidRPr="00675DB0">
        <w:t xml:space="preserve"> isolat</w:t>
      </w:r>
      <w:r w:rsidR="000F758D">
        <w:t>e</w:t>
      </w:r>
      <w:r w:rsidR="00063AC0" w:rsidRPr="00675DB0">
        <w:t xml:space="preserve"> surface</w:t>
      </w:r>
      <w:r w:rsidR="000F758D">
        <w:t>-</w:t>
      </w:r>
      <w:r w:rsidR="00063AC0" w:rsidRPr="00675DB0">
        <w:t>expressed GDEs</w:t>
      </w:r>
      <w:r w:rsidR="00320A5B">
        <w:t>.</w:t>
      </w:r>
    </w:p>
    <w:p w14:paraId="31C8BB9E" w14:textId="77777777" w:rsidR="00063AC0" w:rsidRPr="00675DB0" w:rsidRDefault="00B97811" w:rsidP="00991F83">
      <w:pPr>
        <w:pStyle w:val="BodyText"/>
        <w:numPr>
          <w:ilvl w:val="0"/>
          <w:numId w:val="31"/>
        </w:numPr>
      </w:pPr>
      <w:proofErr w:type="gramStart"/>
      <w:r>
        <w:lastRenderedPageBreak/>
        <w:t>c</w:t>
      </w:r>
      <w:r w:rsidR="00063AC0" w:rsidRPr="00675DB0">
        <w:t>hanges</w:t>
      </w:r>
      <w:proofErr w:type="gramEnd"/>
      <w:r w:rsidR="00063AC0" w:rsidRPr="00675DB0">
        <w:t xml:space="preserve"> to subsurface flow paths</w:t>
      </w:r>
      <w:r w:rsidR="00320A5B">
        <w:t xml:space="preserve"> by </w:t>
      </w:r>
      <w:r w:rsidR="00063AC0" w:rsidRPr="00675DB0">
        <w:t>pumping water from mine pits and production bores, or the free</w:t>
      </w:r>
      <w:r w:rsidR="00063AC0">
        <w:t xml:space="preserve"> </w:t>
      </w:r>
      <w:r w:rsidR="00063AC0" w:rsidRPr="00675DB0">
        <w:t>draining of groundwater throug</w:t>
      </w:r>
      <w:r w:rsidR="00063AC0">
        <w:t>h the walls and floor</w:t>
      </w:r>
      <w:r w:rsidR="00320A5B">
        <w:t>s</w:t>
      </w:r>
      <w:r w:rsidR="00063AC0">
        <w:t xml:space="preserve"> of mine pi</w:t>
      </w:r>
      <w:r w:rsidR="00063AC0" w:rsidRPr="00675DB0">
        <w:t>ts, can alter the direction and velocity of subsurface flow paths. This can result in water moving away from GDEs and towards the extraction point</w:t>
      </w:r>
      <w:r w:rsidR="00320A5B">
        <w:t>.</w:t>
      </w:r>
    </w:p>
    <w:p w14:paraId="31C8BB9F" w14:textId="77777777" w:rsidR="00320A5B" w:rsidRDefault="00B97811" w:rsidP="00320A5B">
      <w:pPr>
        <w:pStyle w:val="BodyText"/>
        <w:numPr>
          <w:ilvl w:val="0"/>
          <w:numId w:val="31"/>
        </w:numPr>
      </w:pPr>
      <w:r>
        <w:t>f</w:t>
      </w:r>
      <w:r w:rsidR="00063AC0" w:rsidRPr="00675DB0">
        <w:t>racturing of confining layers</w:t>
      </w:r>
      <w:r w:rsidR="00320A5B">
        <w:t xml:space="preserve">, which may occur when </w:t>
      </w:r>
      <w:r>
        <w:t>less</w:t>
      </w:r>
      <w:r w:rsidR="00320A5B">
        <w:t>-</w:t>
      </w:r>
      <w:r w:rsidR="00063AC0" w:rsidRPr="00675DB0">
        <w:t xml:space="preserve">porous layers of rock that separate aquifers of differing water quality </w:t>
      </w:r>
      <w:r w:rsidR="00320A5B">
        <w:t>ar</w:t>
      </w:r>
      <w:r w:rsidR="00063AC0" w:rsidRPr="00675DB0">
        <w:t>e penetrated during mining or drilling, or fractured following longwall subsidence. This could lead to the transfer of pressurised or gravity</w:t>
      </w:r>
      <w:r w:rsidR="00320A5B">
        <w:t>-</w:t>
      </w:r>
      <w:r w:rsidR="00063AC0" w:rsidRPr="00675DB0">
        <w:t>mobilised water between aquifers</w:t>
      </w:r>
      <w:r w:rsidR="00320A5B">
        <w:t>.</w:t>
      </w:r>
    </w:p>
    <w:p w14:paraId="31C8BBA0" w14:textId="77777777" w:rsidR="00063AC0" w:rsidRDefault="00063AC0" w:rsidP="00776A8D">
      <w:pPr>
        <w:pStyle w:val="BodyText"/>
        <w:ind w:left="720"/>
      </w:pPr>
      <w:r w:rsidRPr="00675DB0">
        <w:t>  </w:t>
      </w:r>
    </w:p>
    <w:p w14:paraId="31C8BBA1" w14:textId="77777777" w:rsidR="00BE0E0F" w:rsidRPr="00B97811" w:rsidRDefault="00BE0E0F" w:rsidP="00B97811">
      <w:pPr>
        <w:pStyle w:val="ListNumber"/>
        <w:numPr>
          <w:ilvl w:val="0"/>
          <w:numId w:val="0"/>
        </w:numPr>
        <w:ind w:left="397" w:hanging="397"/>
        <w:rPr>
          <w:i/>
          <w:u w:val="single"/>
        </w:rPr>
      </w:pPr>
      <w:r w:rsidRPr="00B97811">
        <w:rPr>
          <w:b/>
        </w:rPr>
        <w:t>CASE STUDY</w:t>
      </w:r>
      <w:r w:rsidR="00B97811" w:rsidRPr="00B97811">
        <w:rPr>
          <w:b/>
        </w:rPr>
        <w:t xml:space="preserve"> 1</w:t>
      </w:r>
      <w:r>
        <w:t xml:space="preserve"> – </w:t>
      </w:r>
      <w:r w:rsidRPr="00B97811">
        <w:rPr>
          <w:i/>
          <w:u w:val="single"/>
        </w:rPr>
        <w:t xml:space="preserve">Impacts of </w:t>
      </w:r>
      <w:r w:rsidR="007876C8">
        <w:rPr>
          <w:i/>
          <w:u w:val="single"/>
        </w:rPr>
        <w:t>longwall</w:t>
      </w:r>
      <w:r w:rsidRPr="00B97811">
        <w:rPr>
          <w:i/>
          <w:u w:val="single"/>
        </w:rPr>
        <w:t xml:space="preserve"> mining on upland peat swamps in the Sydney Basin</w:t>
      </w:r>
    </w:p>
    <w:p w14:paraId="31C8BBA2" w14:textId="77777777" w:rsidR="00BE0E0F" w:rsidRPr="008F52F8" w:rsidRDefault="00BE0E0F" w:rsidP="008F52F8">
      <w:pPr>
        <w:pStyle w:val="BodyText"/>
        <w:rPr>
          <w:i/>
        </w:rPr>
      </w:pPr>
      <w:r w:rsidRPr="008F52F8">
        <w:rPr>
          <w:i/>
        </w:rPr>
        <w:t xml:space="preserve">Subsidence impacts observed in multiple upland peat swamps in the Sydney basin are detailed in CoA (2014). </w:t>
      </w:r>
      <w:r w:rsidR="00320A5B">
        <w:rPr>
          <w:i/>
        </w:rPr>
        <w:t>K</w:t>
      </w:r>
      <w:r w:rsidRPr="008F52F8">
        <w:rPr>
          <w:i/>
        </w:rPr>
        <w:t>ey findings include</w:t>
      </w:r>
      <w:r w:rsidR="00320A5B">
        <w:rPr>
          <w:i/>
        </w:rPr>
        <w:t>:</w:t>
      </w:r>
    </w:p>
    <w:p w14:paraId="31C8BBA3" w14:textId="77777777" w:rsidR="00BE0E0F" w:rsidRPr="008F52F8" w:rsidRDefault="00BD01E3" w:rsidP="008C5F19">
      <w:pPr>
        <w:pStyle w:val="BodyText"/>
        <w:numPr>
          <w:ilvl w:val="0"/>
          <w:numId w:val="39"/>
        </w:numPr>
        <w:rPr>
          <w:i/>
        </w:rPr>
      </w:pPr>
      <w:proofErr w:type="gramStart"/>
      <w:r>
        <w:rPr>
          <w:i/>
        </w:rPr>
        <w:t>l</w:t>
      </w:r>
      <w:r w:rsidR="00BE0E0F" w:rsidRPr="008F52F8">
        <w:rPr>
          <w:i/>
        </w:rPr>
        <w:t>ongwall</w:t>
      </w:r>
      <w:proofErr w:type="gramEnd"/>
      <w:r w:rsidR="00BE0E0F" w:rsidRPr="008F52F8">
        <w:rPr>
          <w:i/>
        </w:rPr>
        <w:t xml:space="preserve"> mining beneath upland peat swamps has fractured the underlying bedrock and altered swamp water balances. The only strategy that has </w:t>
      </w:r>
      <w:r w:rsidR="007F17EB">
        <w:rPr>
          <w:i/>
        </w:rPr>
        <w:t xml:space="preserve">been </w:t>
      </w:r>
      <w:r w:rsidR="00BE0E0F" w:rsidRPr="008F52F8">
        <w:rPr>
          <w:i/>
        </w:rPr>
        <w:t xml:space="preserve">proven to effectively mitigate the impacts of longwall mining is </w:t>
      </w:r>
      <w:r>
        <w:rPr>
          <w:i/>
        </w:rPr>
        <w:t>to change the mine plan layout</w:t>
      </w:r>
      <w:r w:rsidR="00320A5B">
        <w:rPr>
          <w:i/>
        </w:rPr>
        <w:t>.</w:t>
      </w:r>
    </w:p>
    <w:p w14:paraId="31C8BBA4" w14:textId="77777777" w:rsidR="00BE0E0F" w:rsidRPr="008F52F8" w:rsidRDefault="00BD01E3" w:rsidP="008C5F19">
      <w:pPr>
        <w:pStyle w:val="BodyText"/>
        <w:numPr>
          <w:ilvl w:val="0"/>
          <w:numId w:val="39"/>
        </w:numPr>
        <w:rPr>
          <w:i/>
        </w:rPr>
      </w:pPr>
      <w:proofErr w:type="gramStart"/>
      <w:r>
        <w:rPr>
          <w:i/>
        </w:rPr>
        <w:t>r</w:t>
      </w:r>
      <w:r w:rsidR="00BE0E0F" w:rsidRPr="008F52F8">
        <w:rPr>
          <w:i/>
        </w:rPr>
        <w:t>emediation</w:t>
      </w:r>
      <w:proofErr w:type="gramEnd"/>
      <w:r w:rsidR="00BE0E0F" w:rsidRPr="008F52F8">
        <w:rPr>
          <w:i/>
        </w:rPr>
        <w:t xml:space="preserve"> strategies in regions affected by longwall mining are primarily designed to restore the hydrological regime. Remediation strategies have aimed to seal fractures on cracked stream beds but have not attempted </w:t>
      </w:r>
      <w:r w:rsidR="00320A5B">
        <w:rPr>
          <w:i/>
        </w:rPr>
        <w:t xml:space="preserve">to repair </w:t>
      </w:r>
      <w:r w:rsidR="00BE0E0F" w:rsidRPr="008F52F8">
        <w:rPr>
          <w:i/>
        </w:rPr>
        <w:t xml:space="preserve">fractures beneath peat sediments. There were no examples of upland peat swamps impacted by longwall mining that were </w:t>
      </w:r>
      <w:r w:rsidR="00320A5B">
        <w:rPr>
          <w:i/>
        </w:rPr>
        <w:t xml:space="preserve">successfully </w:t>
      </w:r>
      <w:r w:rsidR="00BE0E0F" w:rsidRPr="008F52F8">
        <w:rPr>
          <w:i/>
        </w:rPr>
        <w:t>remediated</w:t>
      </w:r>
      <w:r w:rsidR="00320A5B">
        <w:rPr>
          <w:i/>
        </w:rPr>
        <w:t>.</w:t>
      </w:r>
    </w:p>
    <w:p w14:paraId="31C8BBA5" w14:textId="77777777" w:rsidR="00BE0E0F" w:rsidRPr="008F52F8" w:rsidRDefault="00BD01E3" w:rsidP="008C5F19">
      <w:pPr>
        <w:pStyle w:val="BodyText"/>
        <w:numPr>
          <w:ilvl w:val="0"/>
          <w:numId w:val="39"/>
        </w:numPr>
        <w:rPr>
          <w:i/>
        </w:rPr>
      </w:pPr>
      <w:proofErr w:type="gramStart"/>
      <w:r>
        <w:rPr>
          <w:i/>
        </w:rPr>
        <w:t>r</w:t>
      </w:r>
      <w:r w:rsidR="00BE0E0F" w:rsidRPr="008F52F8">
        <w:rPr>
          <w:i/>
        </w:rPr>
        <w:t>emediation</w:t>
      </w:r>
      <w:proofErr w:type="gramEnd"/>
      <w:r w:rsidR="00BE0E0F" w:rsidRPr="008F52F8">
        <w:rPr>
          <w:i/>
        </w:rPr>
        <w:t xml:space="preserve"> to prevent vertical seepage beneath upland </w:t>
      </w:r>
      <w:r w:rsidR="00106324">
        <w:rPr>
          <w:i/>
        </w:rPr>
        <w:t xml:space="preserve">peat swamps was not attempted </w:t>
      </w:r>
      <w:r w:rsidR="00320A5B">
        <w:rPr>
          <w:i/>
        </w:rPr>
        <w:t xml:space="preserve">because </w:t>
      </w:r>
      <w:r w:rsidR="00106324">
        <w:rPr>
          <w:i/>
        </w:rPr>
        <w:t>p</w:t>
      </w:r>
      <w:r w:rsidR="00BE0E0F" w:rsidRPr="008F52F8">
        <w:rPr>
          <w:i/>
        </w:rPr>
        <w:t>roposed remediation techniques have not been proven and require destruc</w:t>
      </w:r>
      <w:r>
        <w:rPr>
          <w:i/>
        </w:rPr>
        <w:t>tion of the surface environment</w:t>
      </w:r>
      <w:r w:rsidR="00320A5B">
        <w:rPr>
          <w:i/>
        </w:rPr>
        <w:t>.</w:t>
      </w:r>
    </w:p>
    <w:p w14:paraId="31C8BBA6" w14:textId="77777777" w:rsidR="00BE0E0F" w:rsidRPr="008F52F8" w:rsidRDefault="00BE0E0F" w:rsidP="008F52F8">
      <w:pPr>
        <w:pStyle w:val="BodyText"/>
        <w:rPr>
          <w:i/>
        </w:rPr>
      </w:pPr>
      <w:r w:rsidRPr="008F52F8">
        <w:rPr>
          <w:i/>
        </w:rPr>
        <w:t>One exam</w:t>
      </w:r>
      <w:r w:rsidR="00BD01E3">
        <w:rPr>
          <w:i/>
        </w:rPr>
        <w:t>ple of a swamp impacted by long</w:t>
      </w:r>
      <w:r w:rsidRPr="008F52F8">
        <w:rPr>
          <w:i/>
        </w:rPr>
        <w:t xml:space="preserve">wall </w:t>
      </w:r>
      <w:r w:rsidR="00BD01E3">
        <w:rPr>
          <w:i/>
        </w:rPr>
        <w:t>mining is the East Wolgan Swamp</w:t>
      </w:r>
      <w:r w:rsidR="00320A5B">
        <w:rPr>
          <w:i/>
        </w:rPr>
        <w:t xml:space="preserve">. </w:t>
      </w:r>
      <w:r w:rsidRPr="008F52F8">
        <w:rPr>
          <w:i/>
        </w:rPr>
        <w:t xml:space="preserve">The East Wolgan Swamp was undermined </w:t>
      </w:r>
      <w:r w:rsidR="007F17EB">
        <w:rPr>
          <w:i/>
        </w:rPr>
        <w:t xml:space="preserve">at a depth of </w:t>
      </w:r>
      <w:r w:rsidRPr="008F52F8">
        <w:rPr>
          <w:i/>
        </w:rPr>
        <w:t>330 m in March 2006. By November 2006, rapid declines in groundwater level were observed</w:t>
      </w:r>
      <w:r w:rsidR="00BD01E3">
        <w:rPr>
          <w:i/>
        </w:rPr>
        <w:t xml:space="preserve"> </w:t>
      </w:r>
      <w:r w:rsidR="00320A5B">
        <w:rPr>
          <w:i/>
        </w:rPr>
        <w:t xml:space="preserve">to </w:t>
      </w:r>
      <w:r w:rsidR="00BD01E3">
        <w:rPr>
          <w:i/>
        </w:rPr>
        <w:t>interrupt connectivity</w:t>
      </w:r>
      <w:r w:rsidRPr="008F52F8">
        <w:rPr>
          <w:i/>
        </w:rPr>
        <w:t>. Saline mine effluent was discharged to the swamp for three years (commencing in 2008). In November 2009</w:t>
      </w:r>
      <w:r w:rsidR="00BD01E3">
        <w:rPr>
          <w:i/>
        </w:rPr>
        <w:t>,</w:t>
      </w:r>
      <w:r w:rsidRPr="008F52F8">
        <w:rPr>
          <w:i/>
        </w:rPr>
        <w:t xml:space="preserve"> it was discovered that water was entering a cavity and not resurfacing</w:t>
      </w:r>
      <w:r w:rsidR="00320A5B">
        <w:rPr>
          <w:i/>
        </w:rPr>
        <w:t>,</w:t>
      </w:r>
      <w:r w:rsidRPr="008F52F8">
        <w:rPr>
          <w:i/>
        </w:rPr>
        <w:t xml:space="preserve"> and that flow (pre-mining 1 ML</w:t>
      </w:r>
      <w:r w:rsidR="00BD01E3">
        <w:rPr>
          <w:i/>
        </w:rPr>
        <w:t xml:space="preserve"> </w:t>
      </w:r>
      <w:r w:rsidRPr="008F52F8">
        <w:rPr>
          <w:i/>
        </w:rPr>
        <w:t>day</w:t>
      </w:r>
      <w:r w:rsidR="00BD01E3" w:rsidRPr="00BD01E3">
        <w:rPr>
          <w:i/>
          <w:vertAlign w:val="superscript"/>
        </w:rPr>
        <w:t>-1</w:t>
      </w:r>
      <w:r w:rsidRPr="008F52F8">
        <w:rPr>
          <w:i/>
        </w:rPr>
        <w:t>) from the swamp had ceased. In 2011</w:t>
      </w:r>
      <w:r w:rsidR="00320A5B">
        <w:rPr>
          <w:i/>
        </w:rPr>
        <w:t>,</w:t>
      </w:r>
      <w:r w:rsidRPr="008F52F8">
        <w:rPr>
          <w:i/>
        </w:rPr>
        <w:t xml:space="preserve"> an </w:t>
      </w:r>
      <w:r w:rsidR="00BD01E3">
        <w:rPr>
          <w:i/>
        </w:rPr>
        <w:t>‘</w:t>
      </w:r>
      <w:r w:rsidR="00320A5B">
        <w:rPr>
          <w:i/>
        </w:rPr>
        <w:t>e</w:t>
      </w:r>
      <w:r w:rsidR="00BD01E3">
        <w:rPr>
          <w:i/>
        </w:rPr>
        <w:t>nforceable undertaking’</w:t>
      </w:r>
      <w:r w:rsidRPr="008F52F8">
        <w:rPr>
          <w:i/>
        </w:rPr>
        <w:t xml:space="preserve"> was issued following an alleged breach of the EPBC Act. In 2012</w:t>
      </w:r>
      <w:r w:rsidR="00320A5B">
        <w:rPr>
          <w:i/>
        </w:rPr>
        <w:t>,</w:t>
      </w:r>
      <w:r w:rsidRPr="008F52F8">
        <w:rPr>
          <w:i/>
        </w:rPr>
        <w:t xml:space="preserve"> remediation and restoration works were proposed</w:t>
      </w:r>
      <w:r w:rsidR="00320A5B">
        <w:rPr>
          <w:i/>
        </w:rPr>
        <w:t xml:space="preserve"> but</w:t>
      </w:r>
      <w:r w:rsidRPr="008F52F8">
        <w:rPr>
          <w:i/>
        </w:rPr>
        <w:t xml:space="preserve"> by this time there was already extensive degradation of peaty swamp soils, channelling, dieback of swamp vegetation and invasion by exotic species.</w:t>
      </w:r>
    </w:p>
    <w:p w14:paraId="31C8BBA7" w14:textId="77777777" w:rsidR="00063AC0" w:rsidRPr="00102EC7" w:rsidRDefault="00063AC0" w:rsidP="00B97811">
      <w:pPr>
        <w:pStyle w:val="Heading3"/>
      </w:pPr>
      <w:bookmarkStart w:id="25" w:name="_Toc509996462"/>
      <w:r w:rsidRPr="00102EC7">
        <w:rPr>
          <w:rFonts w:eastAsia="Times New Roman"/>
        </w:rPr>
        <w:t>Reduced groundwater quality</w:t>
      </w:r>
      <w:bookmarkEnd w:id="25"/>
      <w:r w:rsidRPr="00102EC7">
        <w:rPr>
          <w:rFonts w:eastAsia="Times New Roman"/>
        </w:rPr>
        <w:t> </w:t>
      </w:r>
    </w:p>
    <w:p w14:paraId="31C8BBA8" w14:textId="77777777" w:rsidR="00063AC0" w:rsidRPr="00D76DFA" w:rsidRDefault="00063AC0" w:rsidP="001D6DC5">
      <w:pPr>
        <w:pStyle w:val="BodyText"/>
      </w:pPr>
      <w:r>
        <w:t>A major</w:t>
      </w:r>
      <w:r w:rsidRPr="002A3380">
        <w:t xml:space="preserve"> potential threat to groundwater quality is the release or leakage of saline water from coal seams into aquifers linked to GDEs. This can occur if </w:t>
      </w:r>
      <w:r w:rsidR="002A6273">
        <w:t>CSG or LCM activities</w:t>
      </w:r>
      <w:r w:rsidRPr="002A3380">
        <w:t xml:space="preserve"> cause a fracturing of less-permeable rock layers, either </w:t>
      </w:r>
      <w:r w:rsidR="002A6273">
        <w:t>during</w:t>
      </w:r>
      <w:r w:rsidRPr="002A3380">
        <w:t xml:space="preserve"> mining or </w:t>
      </w:r>
      <w:r w:rsidR="002A6273">
        <w:t xml:space="preserve">afterwards as </w:t>
      </w:r>
      <w:r w:rsidR="00A36540">
        <w:t>subsidence that</w:t>
      </w:r>
      <w:r w:rsidR="00106324">
        <w:t xml:space="preserve"> allow</w:t>
      </w:r>
      <w:r w:rsidR="002A6273">
        <w:t>s</w:t>
      </w:r>
      <w:r w:rsidR="00106324">
        <w:t xml:space="preserve"> coal </w:t>
      </w:r>
      <w:r w:rsidRPr="002A3380">
        <w:t>seam water to mix with alluvial water. Saline water is often pumped from a coal seam to allow resource extraction, then stored in dams prior to treatment and disposal. Storage dams have the potential to leak, allowing water to escape into the underlying groundwater system or into surface waterways</w:t>
      </w:r>
      <w:r w:rsidR="00E02D88" w:rsidRPr="00E02D88">
        <w:t xml:space="preserve"> </w:t>
      </w:r>
      <w:r w:rsidR="00E02D88" w:rsidRPr="002A3380">
        <w:t>downslope</w:t>
      </w:r>
      <w:r w:rsidRPr="002A3380">
        <w:t>. Storage dams also have the potential to overflow if there is a large rainfall event, releasing water into the </w:t>
      </w:r>
      <w:r w:rsidRPr="001D6DC5">
        <w:t>environment. </w:t>
      </w:r>
      <w:r w:rsidRPr="001D6DC5">
        <w:rPr>
          <w:noProof/>
        </w:rPr>
        <w:drawing>
          <wp:anchor distT="0" distB="0" distL="114300" distR="114300" simplePos="0" relativeHeight="251866624" behindDoc="0" locked="0" layoutInCell="1" allowOverlap="1" wp14:anchorId="31C8C2DE" wp14:editId="31C8C2DF">
            <wp:simplePos x="0" y="0"/>
            <wp:positionH relativeFrom="margin">
              <wp:align>left</wp:align>
            </wp:positionH>
            <wp:positionV relativeFrom="paragraph">
              <wp:posOffset>685947</wp:posOffset>
            </wp:positionV>
            <wp:extent cx="3137535" cy="1442720"/>
            <wp:effectExtent l="0" t="0" r="5715" b="5080"/>
            <wp:wrapThrough wrapText="bothSides">
              <wp:wrapPolygon edited="0">
                <wp:start x="0" y="0"/>
                <wp:lineTo x="0" y="21391"/>
                <wp:lineTo x="21508" y="21391"/>
                <wp:lineTo x="21508" y="0"/>
                <wp:lineTo x="0" y="0"/>
              </wp:wrapPolygon>
            </wp:wrapThrough>
            <wp:docPr id="53" name="Picture 48" descr="DSC_7950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8" descr="DSC_7950v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45344" cy="14467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D6DC5">
        <w:t>Saline water</w:t>
      </w:r>
      <w:r w:rsidRPr="002A3380">
        <w:t xml:space="preserve"> from coal seams, including water extracted during CSG</w:t>
      </w:r>
      <w:r w:rsidR="009F667B">
        <w:t xml:space="preserve"> operations</w:t>
      </w:r>
      <w:r w:rsidRPr="002A3380">
        <w:t xml:space="preserve">, is often treated with reverse osmosis to produce </w:t>
      </w:r>
      <w:r w:rsidR="009F667B" w:rsidRPr="002A3380">
        <w:t xml:space="preserve">fresh water and </w:t>
      </w:r>
      <w:r w:rsidRPr="002A3380">
        <w:t>a brine solution. Options for disposing of the brine solution are limited</w:t>
      </w:r>
      <w:r w:rsidR="009F667B">
        <w:t xml:space="preserve"> and mostly rely on</w:t>
      </w:r>
      <w:r>
        <w:t xml:space="preserve"> </w:t>
      </w:r>
      <w:r w:rsidR="008F52F8" w:rsidRPr="002A3380">
        <w:t>transporta</w:t>
      </w:r>
      <w:r w:rsidR="008F52F8">
        <w:t>tion</w:t>
      </w:r>
      <w:r w:rsidR="009F667B">
        <w:t xml:space="preserve"> </w:t>
      </w:r>
      <w:r w:rsidR="00106324">
        <w:t>off</w:t>
      </w:r>
      <w:r w:rsidRPr="002A3380">
        <w:t>site</w:t>
      </w:r>
      <w:r>
        <w:t xml:space="preserve">, </w:t>
      </w:r>
      <w:r w:rsidRPr="002A3380">
        <w:t>using trucks</w:t>
      </w:r>
      <w:r>
        <w:t xml:space="preserve"> or rail</w:t>
      </w:r>
      <w:r w:rsidRPr="002A3380">
        <w:t xml:space="preserve">. Prior to disposal, the risk of leaking or overflow from storage dams </w:t>
      </w:r>
      <w:r w:rsidR="009F667B">
        <w:t>must</w:t>
      </w:r>
      <w:r w:rsidRPr="002A3380">
        <w:t xml:space="preserve"> be considered. Treated </w:t>
      </w:r>
      <w:r w:rsidR="009F667B">
        <w:t xml:space="preserve">fresh </w:t>
      </w:r>
      <w:r w:rsidRPr="002A3380">
        <w:t>water makes up the large</w:t>
      </w:r>
      <w:r w:rsidR="009F667B">
        <w:t>st</w:t>
      </w:r>
      <w:r w:rsidRPr="002A3380">
        <w:t xml:space="preserve"> volume of the two </w:t>
      </w:r>
      <w:r w:rsidR="00DF0A1D">
        <w:t xml:space="preserve">products of </w:t>
      </w:r>
      <w:r w:rsidRPr="002A3380">
        <w:t>reverse osmosis</w:t>
      </w:r>
      <w:r w:rsidR="00DF0A1D">
        <w:t>,</w:t>
      </w:r>
      <w:r w:rsidRPr="002A3380">
        <w:t xml:space="preserve"> </w:t>
      </w:r>
      <w:r w:rsidR="00DF0A1D">
        <w:t>and although</w:t>
      </w:r>
      <w:r w:rsidRPr="002A3380">
        <w:t xml:space="preserve"> more </w:t>
      </w:r>
      <w:r w:rsidRPr="00D76DFA">
        <w:t xml:space="preserve">benign than the concentrated brine solution, there are still potential contaminant risks </w:t>
      </w:r>
      <w:r w:rsidR="00DF0A1D">
        <w:t>because</w:t>
      </w:r>
      <w:r w:rsidRPr="00D76DFA">
        <w:t xml:space="preserve"> </w:t>
      </w:r>
      <w:r w:rsidRPr="00D76DFA">
        <w:lastRenderedPageBreak/>
        <w:t xml:space="preserve">treated water can be devoid of ions or elements, such as calcium and bromide, </w:t>
      </w:r>
      <w:r w:rsidR="00106324">
        <w:t xml:space="preserve">which are </w:t>
      </w:r>
      <w:r w:rsidRPr="00D76DFA">
        <w:t>essential for biological processes. </w:t>
      </w:r>
    </w:p>
    <w:p w14:paraId="31C8BBA9" w14:textId="77777777" w:rsidR="00063AC0" w:rsidRPr="00D76DFA" w:rsidRDefault="00063AC0" w:rsidP="00960D6A">
      <w:pPr>
        <w:pStyle w:val="BodyText"/>
      </w:pPr>
      <w:r w:rsidRPr="00D76DFA">
        <w:t>P</w:t>
      </w:r>
      <w:r w:rsidR="00AB6B3E">
        <w:t xml:space="preserve">its that extend below the </w:t>
      </w:r>
      <w:proofErr w:type="spellStart"/>
      <w:r w:rsidR="00AB6B3E">
        <w:t>water</w:t>
      </w:r>
      <w:r w:rsidRPr="00D76DFA">
        <w:t>table</w:t>
      </w:r>
      <w:proofErr w:type="spellEnd"/>
      <w:r w:rsidRPr="00D76DFA">
        <w:t xml:space="preserve"> and are left open after mining cessation can fill with groundwater. However, pit water chemistry can change</w:t>
      </w:r>
      <w:r>
        <w:t xml:space="preserve"> through </w:t>
      </w:r>
      <w:proofErr w:type="spellStart"/>
      <w:r>
        <w:t>evapoconcentration</w:t>
      </w:r>
      <w:proofErr w:type="spellEnd"/>
      <w:r>
        <w:t xml:space="preserve"> </w:t>
      </w:r>
      <w:r w:rsidRPr="00D76DFA">
        <w:t>and other </w:t>
      </w:r>
      <w:proofErr w:type="spellStart"/>
      <w:r w:rsidRPr="00D76DFA">
        <w:t>hydrogeochemical</w:t>
      </w:r>
      <w:proofErr w:type="spellEnd"/>
      <w:r w:rsidRPr="00D76DFA">
        <w:t> processes, and the water can become t</w:t>
      </w:r>
      <w:r>
        <w:t xml:space="preserve">oxic, with acidic pH and higher </w:t>
      </w:r>
      <w:r w:rsidRPr="00D76DFA">
        <w:t xml:space="preserve">concentrations of </w:t>
      </w:r>
      <w:r w:rsidR="00DF0A1D">
        <w:t xml:space="preserve">dissolved </w:t>
      </w:r>
      <w:r w:rsidRPr="00D76DFA">
        <w:t>metals, metalloids and sulphate</w:t>
      </w:r>
      <w:r>
        <w:t>s</w:t>
      </w:r>
      <w:r w:rsidRPr="00D76DFA">
        <w:t xml:space="preserve"> (Bowell</w:t>
      </w:r>
      <w:r w:rsidR="0040235C">
        <w:t>,</w:t>
      </w:r>
      <w:r w:rsidRPr="00D76DFA">
        <w:t xml:space="preserve"> 2002). Seepage of water from the pit and into an aquifer can have long-term impacts </w:t>
      </w:r>
      <w:r w:rsidR="009F667B">
        <w:t>on</w:t>
      </w:r>
      <w:r w:rsidRPr="00D76DFA">
        <w:t xml:space="preserve"> </w:t>
      </w:r>
      <w:r w:rsidR="00DF0A1D">
        <w:t>associated</w:t>
      </w:r>
      <w:r w:rsidR="00DF0A1D" w:rsidRPr="00D76DFA">
        <w:t xml:space="preserve"> </w:t>
      </w:r>
      <w:r w:rsidR="00DF0A1D">
        <w:t>GDE</w:t>
      </w:r>
      <w:r w:rsidR="00DF0A1D" w:rsidRPr="00D76DFA">
        <w:t>s</w:t>
      </w:r>
      <w:r w:rsidRPr="00D76DFA">
        <w:t>. </w:t>
      </w:r>
    </w:p>
    <w:p w14:paraId="31C8BBAA" w14:textId="77777777" w:rsidR="00063AC0" w:rsidRPr="002A3380" w:rsidRDefault="00063AC0" w:rsidP="00960D6A">
      <w:pPr>
        <w:pStyle w:val="BodyText"/>
        <w:rPr>
          <w:sz w:val="12"/>
          <w:szCs w:val="12"/>
        </w:rPr>
      </w:pPr>
      <w:r w:rsidRPr="00D76DFA">
        <w:t>Other pollutants c</w:t>
      </w:r>
      <w:r w:rsidR="00DF0A1D">
        <w:t>an</w:t>
      </w:r>
      <w:r w:rsidRPr="00D76DFA">
        <w:t xml:space="preserve"> have localised impacts if they enter groundwater flow paths. These </w:t>
      </w:r>
      <w:r w:rsidR="00DF0A1D">
        <w:t xml:space="preserve">pollutants </w:t>
      </w:r>
      <w:r w:rsidRPr="00D76DFA">
        <w:t>include</w:t>
      </w:r>
      <w:r>
        <w:t xml:space="preserve"> biocides used in water treatment or to prevent clogging of pipes and bores</w:t>
      </w:r>
      <w:r w:rsidR="009F667B">
        <w:t>;</w:t>
      </w:r>
      <w:r w:rsidRPr="00D76DFA">
        <w:t xml:space="preserve"> drilling muds and lubricating fluids used in bore construction; petrochemicals stored on-site; sewage or waste water from mining </w:t>
      </w:r>
      <w:r w:rsidR="002A6273">
        <w:t xml:space="preserve">or CSG extraction </w:t>
      </w:r>
      <w:r w:rsidRPr="00D76DFA">
        <w:t>camps</w:t>
      </w:r>
      <w:r w:rsidR="009F667B">
        <w:t>;</w:t>
      </w:r>
      <w:r>
        <w:t xml:space="preserve"> and other toxicants</w:t>
      </w:r>
      <w:r w:rsidRPr="00D76DFA">
        <w:t>. These impacts can generally be</w:t>
      </w:r>
      <w:r>
        <w:t xml:space="preserve"> minimised or</w:t>
      </w:r>
      <w:r w:rsidRPr="00D76DFA">
        <w:t xml:space="preserve"> prevented by proper construction and maintenance of equipment.</w:t>
      </w:r>
      <w:r w:rsidRPr="002A3380">
        <w:t>  </w:t>
      </w:r>
    </w:p>
    <w:p w14:paraId="31C8BBAB" w14:textId="77777777" w:rsidR="00063AC0" w:rsidRPr="002A3380" w:rsidRDefault="00063AC0" w:rsidP="00960D6A">
      <w:pPr>
        <w:pStyle w:val="BodyText"/>
      </w:pPr>
      <w:r w:rsidRPr="002A3380">
        <w:t xml:space="preserve">Another potential source of contamination to shallow groundwater </w:t>
      </w:r>
      <w:r>
        <w:t>is</w:t>
      </w:r>
      <w:r w:rsidRPr="002A3380">
        <w:t xml:space="preserve"> leachate from stockpiled coal and waste rock. State</w:t>
      </w:r>
      <w:r w:rsidR="00DF0A1D">
        <w:t>-</w:t>
      </w:r>
      <w:r w:rsidRPr="002A3380">
        <w:t>based legislative requirements are designed to protect surface waterways and aquifer</w:t>
      </w:r>
      <w:r w:rsidR="009F667B">
        <w:t>s</w:t>
      </w:r>
      <w:r w:rsidRPr="002A3380">
        <w:t xml:space="preserve"> from contamination with leachate by specifying where stockpiles can occur, and how they are </w:t>
      </w:r>
      <w:proofErr w:type="spellStart"/>
      <w:r w:rsidRPr="002A3380">
        <w:t>bunded</w:t>
      </w:r>
      <w:proofErr w:type="spellEnd"/>
      <w:r w:rsidRPr="002A3380">
        <w:t> and managed (e.g. South Australian EPA 2017).  </w:t>
      </w:r>
    </w:p>
    <w:p w14:paraId="31C8BBAC" w14:textId="77777777" w:rsidR="00063AC0" w:rsidRPr="00102EC7" w:rsidRDefault="00063AC0" w:rsidP="00B97811">
      <w:pPr>
        <w:pStyle w:val="Heading3"/>
      </w:pPr>
      <w:bookmarkStart w:id="26" w:name="_Toc509996463"/>
      <w:bookmarkStart w:id="27" w:name="_Ref507676396"/>
      <w:r w:rsidRPr="00102EC7">
        <w:rPr>
          <w:rFonts w:eastAsia="Times New Roman"/>
        </w:rPr>
        <w:t>Direct disturbance</w:t>
      </w:r>
      <w:bookmarkEnd w:id="26"/>
      <w:r w:rsidRPr="00102EC7">
        <w:rPr>
          <w:rFonts w:eastAsia="Times New Roman"/>
        </w:rPr>
        <w:t xml:space="preserve"> </w:t>
      </w:r>
      <w:bookmarkEnd w:id="27"/>
    </w:p>
    <w:p w14:paraId="31C8BBAD" w14:textId="77777777" w:rsidR="00063AC0" w:rsidRPr="002A3380" w:rsidRDefault="00063AC0" w:rsidP="00244432">
      <w:pPr>
        <w:pStyle w:val="BodyText"/>
      </w:pPr>
      <w:r>
        <w:rPr>
          <w:noProof/>
        </w:rPr>
        <w:drawing>
          <wp:anchor distT="0" distB="0" distL="114300" distR="114300" simplePos="0" relativeHeight="251867648" behindDoc="0" locked="0" layoutInCell="1" allowOverlap="1" wp14:anchorId="31C8C2E0" wp14:editId="31C8C2E1">
            <wp:simplePos x="0" y="0"/>
            <wp:positionH relativeFrom="margin">
              <wp:posOffset>4027805</wp:posOffset>
            </wp:positionH>
            <wp:positionV relativeFrom="paragraph">
              <wp:posOffset>521970</wp:posOffset>
            </wp:positionV>
            <wp:extent cx="2617470" cy="1751330"/>
            <wp:effectExtent l="0" t="0" r="0" b="1270"/>
            <wp:wrapThrough wrapText="bothSides">
              <wp:wrapPolygon edited="0">
                <wp:start x="0" y="0"/>
                <wp:lineTo x="0" y="21381"/>
                <wp:lineTo x="21380" y="21381"/>
                <wp:lineTo x="21380" y="0"/>
                <wp:lineTo x="0" y="0"/>
              </wp:wrapPolygon>
            </wp:wrapThrough>
            <wp:docPr id="12297" name="Picture 7" descr="DSC_9807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7" descr="DSC_9807v1.jpg"/>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17470" cy="1751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A3380">
        <w:t xml:space="preserve">Risk assessments </w:t>
      </w:r>
      <w:r w:rsidR="009F667B">
        <w:t>must</w:t>
      </w:r>
      <w:r w:rsidRPr="002A3380">
        <w:t xml:space="preserve"> consider activities that are not linked to groundwater, but which</w:t>
      </w:r>
      <w:r w:rsidR="009F667B">
        <w:t xml:space="preserve"> can</w:t>
      </w:r>
      <w:r w:rsidRPr="002A3380">
        <w:t xml:space="preserve"> also potentially impact GDEs. These include vegetation clearing, river realignment, </w:t>
      </w:r>
      <w:r w:rsidR="001B09B0" w:rsidRPr="002A3380">
        <w:t>aquifer</w:t>
      </w:r>
      <w:r w:rsidR="001B09B0">
        <w:t xml:space="preserve"> </w:t>
      </w:r>
      <w:r w:rsidRPr="002A3380">
        <w:t xml:space="preserve">excavation </w:t>
      </w:r>
      <w:r w:rsidR="00850A76">
        <w:t xml:space="preserve">and </w:t>
      </w:r>
      <w:r w:rsidR="001B09B0" w:rsidRPr="002A3380">
        <w:t>wetland</w:t>
      </w:r>
      <w:r w:rsidR="001B09B0">
        <w:t xml:space="preserve"> draining.</w:t>
      </w:r>
      <w:r w:rsidRPr="002A3380">
        <w:t xml:space="preserve"> Often, the impacts from these will be considered in other </w:t>
      </w:r>
      <w:r w:rsidR="00BB1DD0">
        <w:t>EIA</w:t>
      </w:r>
      <w:r w:rsidR="005D109D" w:rsidRPr="002A3380">
        <w:t xml:space="preserve"> </w:t>
      </w:r>
      <w:r w:rsidRPr="002A3380">
        <w:t xml:space="preserve">sections </w:t>
      </w:r>
      <w:r w:rsidR="001B09B0">
        <w:t xml:space="preserve">and </w:t>
      </w:r>
      <w:r w:rsidRPr="002A3380">
        <w:t xml:space="preserve">not </w:t>
      </w:r>
      <w:r w:rsidR="00850A76">
        <w:t>considered</w:t>
      </w:r>
      <w:r w:rsidRPr="002A3380">
        <w:t xml:space="preserve"> in the context of GDEs. This lead</w:t>
      </w:r>
      <w:r w:rsidR="005D109D">
        <w:t>s</w:t>
      </w:r>
      <w:r w:rsidRPr="002A3380">
        <w:t xml:space="preserve"> to oversights in the mitigation or management of risks. For example, if </w:t>
      </w:r>
      <w:r>
        <w:t>groundwater</w:t>
      </w:r>
      <w:r w:rsidR="004A0AB4">
        <w:t>-</w:t>
      </w:r>
      <w:r>
        <w:t>dependent</w:t>
      </w:r>
      <w:r w:rsidRPr="002A3380">
        <w:t xml:space="preserve"> vegetation is cleared and offset against a similar vegetation type that is not groundwater</w:t>
      </w:r>
      <w:r w:rsidR="004A0AB4">
        <w:t>-</w:t>
      </w:r>
      <w:r w:rsidRPr="002A3380">
        <w:t>dependent, then offsetting does not protect the GDE nor does it protect the crucial role that the vegetation plays in providing organic matter (via roots) to aquifer food webs. Similarly, river diversions around a proposed mine pit may consist of an engineered channel that adequately connects upstream and downstream reaches, but neglects the consequences of lost aquifer connectivity.   </w:t>
      </w:r>
    </w:p>
    <w:p w14:paraId="31C8BBAE" w14:textId="77777777" w:rsidR="00063AC0" w:rsidRPr="00102EC7" w:rsidRDefault="00063AC0" w:rsidP="00B97811">
      <w:pPr>
        <w:pStyle w:val="Heading3"/>
      </w:pPr>
      <w:bookmarkStart w:id="28" w:name="_Toc509996464"/>
      <w:r w:rsidRPr="00102EC7">
        <w:rPr>
          <w:rFonts w:eastAsia="Times New Roman"/>
        </w:rPr>
        <w:t>Cumulative impacts</w:t>
      </w:r>
      <w:bookmarkEnd w:id="28"/>
      <w:r w:rsidRPr="00102EC7">
        <w:rPr>
          <w:rFonts w:eastAsia="Times New Roman"/>
        </w:rPr>
        <w:t> </w:t>
      </w:r>
    </w:p>
    <w:p w14:paraId="31C8BBAF" w14:textId="77777777" w:rsidR="00850A76" w:rsidRDefault="00850A76" w:rsidP="00244432">
      <w:pPr>
        <w:pStyle w:val="BodyText"/>
      </w:pPr>
      <w:r w:rsidRPr="002A3380">
        <w:t xml:space="preserve">Cumulative impacts to GDEs need to be considered if there is a </w:t>
      </w:r>
      <w:r w:rsidR="004A0AB4">
        <w:t xml:space="preserve">possible </w:t>
      </w:r>
      <w:r w:rsidRPr="002A3380">
        <w:t xml:space="preserve">compounding effect from the proposed </w:t>
      </w:r>
      <w:r w:rsidR="004A0AB4">
        <w:t>CSG or LCM activity</w:t>
      </w:r>
      <w:r w:rsidR="004A0AB4" w:rsidRPr="002A3380">
        <w:t xml:space="preserve"> </w:t>
      </w:r>
      <w:r w:rsidR="004A0AB4">
        <w:t>with</w:t>
      </w:r>
      <w:r w:rsidR="004A0AB4" w:rsidRPr="002A3380">
        <w:t xml:space="preserve"> </w:t>
      </w:r>
      <w:r w:rsidRPr="002A3380">
        <w:t xml:space="preserve">an adjacent </w:t>
      </w:r>
      <w:r w:rsidR="004A0AB4">
        <w:t>on</w:t>
      </w:r>
      <w:r w:rsidR="004A0AB4" w:rsidRPr="002A3380">
        <w:t xml:space="preserve">e </w:t>
      </w:r>
      <w:r w:rsidRPr="002A3380">
        <w:t>or other activit</w:t>
      </w:r>
      <w:r w:rsidR="004A0AB4">
        <w:t>ies unrelated to CSG and LCM operations</w:t>
      </w:r>
      <w:r w:rsidRPr="002A3380">
        <w:t xml:space="preserve">. Examples occur when a cone of depression from one mine intersects the cone of depression from one or more nearby mines and </w:t>
      </w:r>
      <w:r>
        <w:t>amplifies drawdown</w:t>
      </w:r>
      <w:r w:rsidRPr="002A3380">
        <w:t xml:space="preserve"> near a GDE. </w:t>
      </w:r>
      <w:r>
        <w:t>P</w:t>
      </w:r>
      <w:r w:rsidRPr="002A3380">
        <w:t>lans for mine expansion should assess the cumulative impacts of the project as a whole not just the expansion area</w:t>
      </w:r>
      <w:r w:rsidR="00F2666B">
        <w:t>. This can be achieved using regional groundwater models such as that for the Surat Basin (</w:t>
      </w:r>
      <w:proofErr w:type="spellStart"/>
      <w:r w:rsidR="00F2666B">
        <w:t>Janardhanaran</w:t>
      </w:r>
      <w:proofErr w:type="spellEnd"/>
      <w:r w:rsidR="00F2666B">
        <w:t xml:space="preserve"> et al., 2016).</w:t>
      </w:r>
    </w:p>
    <w:p w14:paraId="31C8BBB0" w14:textId="77777777" w:rsidR="00106324" w:rsidRPr="002A3380" w:rsidRDefault="00106324" w:rsidP="00244432">
      <w:pPr>
        <w:pStyle w:val="BodyText"/>
      </w:pPr>
      <w:r>
        <w:t xml:space="preserve">More than two mines might occur across a localised region (e.g. Hunter Valley). </w:t>
      </w:r>
      <w:r w:rsidR="00695927">
        <w:t>C</w:t>
      </w:r>
      <w:r>
        <w:t xml:space="preserve">onsideration should be given to coordination between proponents </w:t>
      </w:r>
      <w:r w:rsidR="004A0AB4">
        <w:t xml:space="preserve">of adjoining developments </w:t>
      </w:r>
      <w:r>
        <w:t>to assess the cumulative impacts o</w:t>
      </w:r>
      <w:r w:rsidR="00695927">
        <w:t>perating together</w:t>
      </w:r>
      <w:r w:rsidR="004A0AB4">
        <w:t xml:space="preserve"> and to share monitoring data and plans to effectively mitigate cumulative impacts</w:t>
      </w:r>
      <w:r w:rsidR="00695927">
        <w:t>.</w:t>
      </w:r>
    </w:p>
    <w:p w14:paraId="31C8BBB1" w14:textId="77777777" w:rsidR="00850A76" w:rsidRPr="002A3380" w:rsidRDefault="00850A76" w:rsidP="00244432">
      <w:pPr>
        <w:pStyle w:val="BodyText"/>
      </w:pPr>
      <w:r w:rsidRPr="002A3380">
        <w:t xml:space="preserve">Agriculture, urban water supply, power generation and other developments can also </w:t>
      </w:r>
      <w:r>
        <w:t>impair</w:t>
      </w:r>
      <w:r w:rsidRPr="002A3380">
        <w:t xml:space="preserve"> groundwater quality and interrupt connectivity. Where these occur </w:t>
      </w:r>
      <w:r>
        <w:t>near</w:t>
      </w:r>
      <w:r w:rsidRPr="002A3380">
        <w:t xml:space="preserve"> a mine, their cumulative impacts </w:t>
      </w:r>
      <w:r w:rsidR="004A0AB4">
        <w:t>must</w:t>
      </w:r>
      <w:r w:rsidRPr="002A3380">
        <w:t xml:space="preserve"> be considered</w:t>
      </w:r>
      <w:r>
        <w:t xml:space="preserve"> and compared to conditions at reference sites</w:t>
      </w:r>
      <w:r w:rsidR="005D109D">
        <w:t xml:space="preserve"> (representative monitoring sites outside the project impact area</w:t>
      </w:r>
      <w:r w:rsidR="00C952EC">
        <w:t>, see section 6</w:t>
      </w:r>
      <w:r w:rsidR="005D109D">
        <w:t>)</w:t>
      </w:r>
      <w:r w:rsidRPr="002A3380">
        <w:t>.  </w:t>
      </w:r>
    </w:p>
    <w:p w14:paraId="31C8BBB2" w14:textId="77777777" w:rsidR="00F2666B" w:rsidRDefault="005D109D" w:rsidP="001D6DC5">
      <w:pPr>
        <w:pStyle w:val="BodyText"/>
        <w:rPr>
          <w:color w:val="FFFFFF" w:themeColor="background2"/>
          <w:sz w:val="24"/>
        </w:rPr>
      </w:pPr>
      <w:r>
        <w:t>As</w:t>
      </w:r>
      <w:r w:rsidR="00063AC0" w:rsidRPr="002A3380">
        <w:t xml:space="preserve"> consequences of </w:t>
      </w:r>
      <w:r w:rsidR="002A6273">
        <w:t>CSG or LCM activities</w:t>
      </w:r>
      <w:r w:rsidR="00063AC0" w:rsidRPr="002A3380">
        <w:t xml:space="preserve"> potentially occur over decades or centuries, it is important that </w:t>
      </w:r>
      <w:r>
        <w:t xml:space="preserve">project area </w:t>
      </w:r>
      <w:r w:rsidR="00063AC0" w:rsidRPr="002A3380">
        <w:t xml:space="preserve">impact assessments consider how GDEs will respond to or recover from </w:t>
      </w:r>
      <w:r w:rsidR="002A6273">
        <w:t>these operations</w:t>
      </w:r>
      <w:r w:rsidR="002A6273" w:rsidRPr="002A3380">
        <w:t xml:space="preserve"> </w:t>
      </w:r>
      <w:r w:rsidR="00063AC0" w:rsidRPr="002A3380">
        <w:t xml:space="preserve">under modelled </w:t>
      </w:r>
      <w:r w:rsidR="00063AC0" w:rsidRPr="002A3380">
        <w:lastRenderedPageBreak/>
        <w:t>climate change scenarios. Current forecasts for Australia are available from CSIRO (</w:t>
      </w:r>
      <w:hyperlink r:id="rId43" w:history="1">
        <w:r w:rsidR="003F0E91">
          <w:rPr>
            <w:color w:val="0000FF"/>
            <w:u w:val="single"/>
          </w:rPr>
          <w:t>Climate</w:t>
        </w:r>
      </w:hyperlink>
      <w:r w:rsidR="00063AC0" w:rsidRPr="002A3380">
        <w:t xml:space="preserve">), and impacts to GDEs from </w:t>
      </w:r>
      <w:r w:rsidR="002A6273">
        <w:t>CSG or LCM activities</w:t>
      </w:r>
      <w:r w:rsidR="00063AC0" w:rsidRPr="002A3380">
        <w:t xml:space="preserve"> should be considered under these or newer forecasts</w:t>
      </w:r>
      <w:r>
        <w:t xml:space="preserve"> as they are developed</w:t>
      </w:r>
      <w:r w:rsidR="00063AC0" w:rsidRPr="002A3380">
        <w:t>. </w:t>
      </w:r>
      <w:r w:rsidR="00073D8A">
        <w:t>Nugent et al. (2013) provide a risk framework to manage GDEs under a changing climate.</w:t>
      </w:r>
      <w:r w:rsidR="00F2666B" w:rsidRPr="00F2666B">
        <w:rPr>
          <w:color w:val="FFFFFF" w:themeColor="background2"/>
          <w:sz w:val="24"/>
        </w:rPr>
        <w:t>ne-subregion</w:t>
      </w:r>
    </w:p>
    <w:p w14:paraId="31C8BBB3" w14:textId="77777777" w:rsidR="00510A65" w:rsidRDefault="00DB6D53" w:rsidP="00510A65">
      <w:pPr>
        <w:pStyle w:val="Heading1"/>
      </w:pPr>
      <w:bookmarkStart w:id="29" w:name="_Toc509996465"/>
      <w:r>
        <w:lastRenderedPageBreak/>
        <w:t>Framework for assessing GDEs in an environmental impact statement</w:t>
      </w:r>
      <w:bookmarkEnd w:id="29"/>
    </w:p>
    <w:p w14:paraId="31C8BBB4" w14:textId="77777777" w:rsidR="00B57A8D" w:rsidRDefault="00960D6A" w:rsidP="00B57A8D">
      <w:pPr>
        <w:pStyle w:val="BodyText"/>
      </w:pPr>
      <w:r>
        <w:rPr>
          <w:noProof/>
        </w:rPr>
        <w:drawing>
          <wp:anchor distT="0" distB="0" distL="114300" distR="114300" simplePos="0" relativeHeight="251879936" behindDoc="0" locked="0" layoutInCell="1" allowOverlap="1" wp14:anchorId="31C8C2E2" wp14:editId="31C8C2E3">
            <wp:simplePos x="0" y="0"/>
            <wp:positionH relativeFrom="margin">
              <wp:align>left</wp:align>
            </wp:positionH>
            <wp:positionV relativeFrom="paragraph">
              <wp:posOffset>654474</wp:posOffset>
            </wp:positionV>
            <wp:extent cx="2656205" cy="1774825"/>
            <wp:effectExtent l="0" t="0" r="0" b="0"/>
            <wp:wrapThrough wrapText="bothSides">
              <wp:wrapPolygon edited="0">
                <wp:start x="0" y="0"/>
                <wp:lineTo x="0" y="21330"/>
                <wp:lineTo x="21378" y="21330"/>
                <wp:lineTo x="21378"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SC_7695v1.jpg"/>
                    <pic:cNvPicPr/>
                  </pic:nvPicPr>
                  <pic:blipFill>
                    <a:blip r:embed="rId44" cstate="email">
                      <a:extLst>
                        <a:ext uri="{28A0092B-C50C-407E-A947-70E740481C1C}">
                          <a14:useLocalDpi xmlns:a14="http://schemas.microsoft.com/office/drawing/2010/main"/>
                        </a:ext>
                      </a:extLst>
                    </a:blip>
                    <a:stretch>
                      <a:fillRect/>
                    </a:stretch>
                  </pic:blipFill>
                  <pic:spPr>
                    <a:xfrm>
                      <a:off x="0" y="0"/>
                      <a:ext cx="2658253" cy="1776255"/>
                    </a:xfrm>
                    <a:prstGeom prst="rect">
                      <a:avLst/>
                    </a:prstGeom>
                  </pic:spPr>
                </pic:pic>
              </a:graphicData>
            </a:graphic>
            <wp14:sizeRelH relativeFrom="margin">
              <wp14:pctWidth>0</wp14:pctWidth>
            </wp14:sizeRelH>
            <wp14:sizeRelV relativeFrom="margin">
              <wp14:pctHeight>0</wp14:pctHeight>
            </wp14:sizeRelV>
          </wp:anchor>
        </w:drawing>
      </w:r>
      <w:r w:rsidR="00850A76">
        <w:t xml:space="preserve">GDEs </w:t>
      </w:r>
      <w:r w:rsidR="00C952EC">
        <w:t>can be assessed using a</w:t>
      </w:r>
      <w:r w:rsidR="005D109D">
        <w:t xml:space="preserve"> logic</w:t>
      </w:r>
      <w:r w:rsidR="00C952EC">
        <w:t>al</w:t>
      </w:r>
      <w:r w:rsidR="00850A76">
        <w:t xml:space="preserve"> framework</w:t>
      </w:r>
      <w:r w:rsidR="00C952EC">
        <w:t xml:space="preserve"> (Figure 5) to</w:t>
      </w:r>
      <w:r w:rsidR="00850A76">
        <w:t xml:space="preserve"> </w:t>
      </w:r>
      <w:r w:rsidR="00B57A8D" w:rsidRPr="001C7564">
        <w:t>(</w:t>
      </w:r>
      <w:proofErr w:type="spellStart"/>
      <w:r w:rsidR="00B57A8D" w:rsidRPr="001C7564">
        <w:t>i</w:t>
      </w:r>
      <w:proofErr w:type="spellEnd"/>
      <w:r w:rsidR="00B57A8D" w:rsidRPr="001C7564">
        <w:t>) defin</w:t>
      </w:r>
      <w:r w:rsidR="00B57A8D">
        <w:t>e</w:t>
      </w:r>
      <w:r w:rsidR="00B57A8D" w:rsidRPr="001C7564">
        <w:t xml:space="preserve"> the project area</w:t>
      </w:r>
      <w:r w:rsidR="00B57A8D">
        <w:t xml:space="preserve"> (which includes the footprint of surface infrastructure and the extent of groundwater depressurisation)</w:t>
      </w:r>
      <w:r w:rsidR="00B57A8D" w:rsidRPr="001C7564">
        <w:t xml:space="preserve">, </w:t>
      </w:r>
      <w:r w:rsidR="00B57A8D" w:rsidRPr="00C50897">
        <w:t>(ii) undertak</w:t>
      </w:r>
      <w:r w:rsidR="00B57A8D">
        <w:t>e</w:t>
      </w:r>
      <w:r w:rsidR="00B57A8D" w:rsidRPr="00C50897">
        <w:t xml:space="preserve"> a desktop study to identify potential GDEs in the project area</w:t>
      </w:r>
      <w:r w:rsidR="00B57A8D" w:rsidRPr="001C7564">
        <w:t xml:space="preserve">, (iii) </w:t>
      </w:r>
      <w:r w:rsidR="00B57A8D">
        <w:t>assess</w:t>
      </w:r>
      <w:r w:rsidR="00B57A8D" w:rsidRPr="001C7564">
        <w:t xml:space="preserve"> the level of groundwater dependence </w:t>
      </w:r>
      <w:r w:rsidR="00B57A8D">
        <w:t xml:space="preserve">for </w:t>
      </w:r>
      <w:r w:rsidR="00C952EC">
        <w:t xml:space="preserve">each </w:t>
      </w:r>
      <w:r w:rsidR="00B57A8D">
        <w:t>GDE</w:t>
      </w:r>
      <w:r w:rsidR="00B57A8D" w:rsidRPr="00850A76">
        <w:t xml:space="preserve"> </w:t>
      </w:r>
      <w:r w:rsidR="00B57A8D">
        <w:t xml:space="preserve">and </w:t>
      </w:r>
      <w:r w:rsidR="00C952EC">
        <w:t xml:space="preserve">the potential </w:t>
      </w:r>
      <w:r w:rsidR="00B57A8D">
        <w:t>pathways of cause and effect</w:t>
      </w:r>
      <w:r w:rsidR="00C952EC">
        <w:t xml:space="preserve"> of CSG or LCM activities</w:t>
      </w:r>
      <w:r w:rsidR="00B57A8D" w:rsidRPr="001C7564">
        <w:t xml:space="preserve">, (iv) identify </w:t>
      </w:r>
      <w:r w:rsidR="00B57A8D">
        <w:t xml:space="preserve">baseline ecological condition </w:t>
      </w:r>
      <w:r w:rsidR="00C952EC">
        <w:t xml:space="preserve">and value </w:t>
      </w:r>
      <w:r w:rsidR="00B57A8D">
        <w:t xml:space="preserve">for </w:t>
      </w:r>
      <w:r w:rsidR="00C952EC">
        <w:t xml:space="preserve">each </w:t>
      </w:r>
      <w:r w:rsidR="00B57A8D">
        <w:t>GDE, (v) assess the likelihood, frequency</w:t>
      </w:r>
      <w:r w:rsidR="00C952EC">
        <w:t xml:space="preserve"> and</w:t>
      </w:r>
      <w:r w:rsidR="00B57A8D">
        <w:t xml:space="preserve"> magnitude of </w:t>
      </w:r>
      <w:r w:rsidR="00B57A8D" w:rsidRPr="001C7564">
        <w:t>potential impacts to GDEs</w:t>
      </w:r>
      <w:r w:rsidR="00B57A8D">
        <w:t xml:space="preserve"> and determine the risk</w:t>
      </w:r>
      <w:r w:rsidR="00C952EC">
        <w:t>s</w:t>
      </w:r>
      <w:r w:rsidR="00B57A8D">
        <w:t xml:space="preserve"> related to the </w:t>
      </w:r>
      <w:r w:rsidR="002A6273">
        <w:t>CSG or LCM activities</w:t>
      </w:r>
      <w:r w:rsidR="00C952EC">
        <w:t xml:space="preserve">, and </w:t>
      </w:r>
      <w:r w:rsidR="00B57A8D" w:rsidRPr="001C7564">
        <w:t>(v</w:t>
      </w:r>
      <w:r w:rsidR="00B57A8D">
        <w:t>i</w:t>
      </w:r>
      <w:r w:rsidR="00B57A8D" w:rsidRPr="001C7564">
        <w:t xml:space="preserve">) </w:t>
      </w:r>
      <w:r w:rsidR="00B57A8D">
        <w:t xml:space="preserve">prioritise </w:t>
      </w:r>
      <w:r w:rsidR="00B57A8D" w:rsidRPr="001C7564">
        <w:t>options to avoid or mitigate impacts</w:t>
      </w:r>
      <w:r w:rsidR="00B57A8D" w:rsidRPr="3258323F">
        <w:t xml:space="preserve"> to GDEs</w:t>
      </w:r>
      <w:r w:rsidR="00B57A8D">
        <w:t xml:space="preserve"> and establish a monitoring plan to test effectiveness of mitigation</w:t>
      </w:r>
      <w:r w:rsidR="00C952EC">
        <w:t xml:space="preserve"> strategies</w:t>
      </w:r>
      <w:r w:rsidR="00B57A8D">
        <w:t xml:space="preserve"> </w:t>
      </w:r>
      <w:r w:rsidR="00C952EC">
        <w:t>and</w:t>
      </w:r>
      <w:r w:rsidR="00B57A8D">
        <w:t xml:space="preserve"> identify unexpected impacts</w:t>
      </w:r>
      <w:r w:rsidR="00B57A8D" w:rsidRPr="3258323F">
        <w:t>.</w:t>
      </w:r>
      <w:r w:rsidR="00B57A8D">
        <w:t xml:space="preserve"> </w:t>
      </w:r>
    </w:p>
    <w:p w14:paraId="31C8BBB5" w14:textId="77777777" w:rsidR="008D610A" w:rsidRPr="003262B5" w:rsidRDefault="00761269" w:rsidP="00AA4FE2">
      <w:pPr>
        <w:pStyle w:val="BodyText"/>
      </w:pPr>
      <w:r w:rsidRPr="003262B5">
        <w:t xml:space="preserve">In 2011, the Australian </w:t>
      </w:r>
      <w:r w:rsidR="00351AA3">
        <w:t>groundwater</w:t>
      </w:r>
      <w:r w:rsidR="00C952EC">
        <w:t>-</w:t>
      </w:r>
      <w:r w:rsidR="00351AA3">
        <w:t>dependent</w:t>
      </w:r>
      <w:r w:rsidRPr="003262B5">
        <w:t xml:space="preserve"> ecosystems toolbox (</w:t>
      </w:r>
      <w:hyperlink r:id="rId45" w:history="1">
        <w:r w:rsidR="005D109D">
          <w:rPr>
            <w:rStyle w:val="Hyperlink"/>
          </w:rPr>
          <w:t>GDE Toolbox</w:t>
        </w:r>
      </w:hyperlink>
      <w:r w:rsidR="003A5B99">
        <w:t>; Richardson et al., 2011</w:t>
      </w:r>
      <w:r w:rsidRPr="003262B5">
        <w:t xml:space="preserve">) was published to </w:t>
      </w:r>
      <w:r w:rsidR="00D47213">
        <w:t xml:space="preserve">aid assessment of GDEs. </w:t>
      </w:r>
      <w:r w:rsidR="00850A76">
        <w:t>Various</w:t>
      </w:r>
      <w:r w:rsidRPr="003262B5">
        <w:t xml:space="preserve"> methods or ‘tools’ </w:t>
      </w:r>
      <w:r w:rsidR="00850A76">
        <w:t>we</w:t>
      </w:r>
      <w:r>
        <w:t>re</w:t>
      </w:r>
      <w:r w:rsidRPr="003262B5">
        <w:t xml:space="preserve"> </w:t>
      </w:r>
      <w:r>
        <w:t xml:space="preserve">collated </w:t>
      </w:r>
      <w:r w:rsidRPr="003262B5">
        <w:t xml:space="preserve">to aid identification and conceptualisation of </w:t>
      </w:r>
      <w:r w:rsidR="00850A76">
        <w:t xml:space="preserve">how water </w:t>
      </w:r>
      <w:r w:rsidR="00C952EC">
        <w:t xml:space="preserve">may be </w:t>
      </w:r>
      <w:r w:rsidR="00850A76">
        <w:t xml:space="preserve">used </w:t>
      </w:r>
      <w:r w:rsidR="00BC2A2A">
        <w:t xml:space="preserve">by </w:t>
      </w:r>
      <w:r w:rsidR="005D109D">
        <w:t xml:space="preserve">a GDE </w:t>
      </w:r>
      <w:r>
        <w:t>(</w:t>
      </w:r>
      <w:r w:rsidRPr="003262B5">
        <w:t>summarised in</w:t>
      </w:r>
      <w:r w:rsidR="00DB24BF">
        <w:t xml:space="preserve"> </w:t>
      </w:r>
      <w:r w:rsidR="00DB24BF">
        <w:fldChar w:fldCharType="begin"/>
      </w:r>
      <w:r w:rsidR="00DB24BF">
        <w:instrText xml:space="preserve"> REF _Ref509649878 \h </w:instrText>
      </w:r>
      <w:r w:rsidR="00DB24BF">
        <w:fldChar w:fldCharType="separate"/>
      </w:r>
      <w:r w:rsidR="00E96B43">
        <w:t xml:space="preserve">Table </w:t>
      </w:r>
      <w:r w:rsidR="00E96B43">
        <w:rPr>
          <w:noProof/>
        </w:rPr>
        <w:t>2</w:t>
      </w:r>
      <w:r w:rsidR="00DB24BF">
        <w:fldChar w:fldCharType="end"/>
      </w:r>
      <w:r w:rsidR="00DB24BF">
        <w:t xml:space="preserve"> and detailed in</w:t>
      </w:r>
      <w:r w:rsidRPr="003262B5">
        <w:t xml:space="preserve"> </w:t>
      </w:r>
      <w:r w:rsidR="00D073D6">
        <w:fldChar w:fldCharType="begin"/>
      </w:r>
      <w:r w:rsidR="00D073D6">
        <w:instrText xml:space="preserve"> REF _Ref507707870 \h </w:instrText>
      </w:r>
      <w:r w:rsidR="00D073D6">
        <w:fldChar w:fldCharType="separate"/>
      </w:r>
      <w:r w:rsidR="00E96B43">
        <w:t xml:space="preserve">App Table </w:t>
      </w:r>
      <w:r w:rsidR="00E96B43">
        <w:rPr>
          <w:noProof/>
        </w:rPr>
        <w:t>2</w:t>
      </w:r>
      <w:r w:rsidR="00D073D6">
        <w:fldChar w:fldCharType="end"/>
      </w:r>
      <w:r>
        <w:t>)</w:t>
      </w:r>
      <w:r w:rsidRPr="003262B5">
        <w:t xml:space="preserve">. </w:t>
      </w:r>
      <w:r w:rsidR="00906D4F">
        <w:t>Many of t</w:t>
      </w:r>
      <w:r w:rsidR="00C952EC">
        <w:t>h</w:t>
      </w:r>
      <w:r w:rsidR="00906D4F">
        <w:t>ese methods are</w:t>
      </w:r>
      <w:r w:rsidR="00C952EC">
        <w:t xml:space="preserve"> updated in the current Explanatory Note, and form a basis </w:t>
      </w:r>
      <w:r w:rsidR="00906D4F">
        <w:t>for the</w:t>
      </w:r>
      <w:r w:rsidR="00C952EC">
        <w:t xml:space="preserve"> </w:t>
      </w:r>
      <w:r w:rsidR="00906D4F">
        <w:t xml:space="preserve">logical sequence of steps </w:t>
      </w:r>
      <w:r w:rsidR="00C952EC">
        <w:t xml:space="preserve">outlined in </w:t>
      </w:r>
      <w:r w:rsidR="00606527">
        <w:fldChar w:fldCharType="begin"/>
      </w:r>
      <w:r w:rsidR="00606527">
        <w:instrText xml:space="preserve"> REF _Ref507091362 \h </w:instrText>
      </w:r>
      <w:r w:rsidR="00606527">
        <w:fldChar w:fldCharType="separate"/>
      </w:r>
      <w:r w:rsidR="00E96B43" w:rsidRPr="00000D10">
        <w:rPr>
          <w:color w:val="000000" w:themeColor="text1"/>
        </w:rPr>
        <w:t xml:space="preserve">Figure </w:t>
      </w:r>
      <w:r w:rsidR="00E96B43">
        <w:rPr>
          <w:noProof/>
          <w:color w:val="000000" w:themeColor="text1"/>
        </w:rPr>
        <w:t>5</w:t>
      </w:r>
      <w:r w:rsidR="00606527">
        <w:fldChar w:fldCharType="end"/>
      </w:r>
      <w:r w:rsidR="008D610A">
        <w:t xml:space="preserve">. </w:t>
      </w:r>
      <w:r w:rsidR="00906D4F">
        <w:t xml:space="preserve">The next four chapters describe how to identify GDEs and their potential groundwater dependence (Chapter 5), how to survey GDEs to assess their baseline ecological condition and ecosystem value (Chapter 6), how to assess risks of project-specific impacts on GDEs (Chapter 7) and what options exist for avoidance, mitigation and management of such risks (Chapter 8). These chapters follow the order of steps presented in Figure 5.  </w:t>
      </w:r>
    </w:p>
    <w:p w14:paraId="31C8BBB6" w14:textId="77777777" w:rsidR="008D610A" w:rsidRPr="003262B5" w:rsidRDefault="008D610A" w:rsidP="00AA4FE2">
      <w:pPr>
        <w:pStyle w:val="BodyText"/>
      </w:pPr>
    </w:p>
    <w:p w14:paraId="31C8BBB7" w14:textId="77777777" w:rsidR="00761269" w:rsidRDefault="00761269" w:rsidP="00AA4FE2">
      <w:pPr>
        <w:pStyle w:val="BodyText"/>
      </w:pPr>
    </w:p>
    <w:p w14:paraId="31C8BBB8" w14:textId="77777777" w:rsidR="001C7564" w:rsidRDefault="00B72B47" w:rsidP="001C7564">
      <w:pPr>
        <w:pStyle w:val="Caption"/>
        <w:jc w:val="center"/>
        <w:rPr>
          <w:b/>
          <w:color w:val="000000" w:themeColor="text1"/>
        </w:rPr>
      </w:pPr>
      <w:bookmarkStart w:id="30" w:name="_Ref506784364"/>
      <w:r>
        <w:rPr>
          <w:b/>
          <w:noProof/>
          <w:color w:val="000000" w:themeColor="text1"/>
        </w:rPr>
        <w:lastRenderedPageBreak/>
        <w:drawing>
          <wp:inline distT="0" distB="0" distL="0" distR="0" wp14:anchorId="31C8C2E4" wp14:editId="31C8C2E5">
            <wp:extent cx="6645910" cy="7630964"/>
            <wp:effectExtent l="0" t="0" r="2540" b="8255"/>
            <wp:docPr id="61467" name="Picture 6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7" name="GDE flow diagram_v12.jp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6645910" cy="7630964"/>
                    </a:xfrm>
                    <a:prstGeom prst="rect">
                      <a:avLst/>
                    </a:prstGeom>
                    <a:ln>
                      <a:noFill/>
                    </a:ln>
                    <a:extLst>
                      <a:ext uri="{53640926-AAD7-44D8-BBD7-CCE9431645EC}">
                        <a14:shadowObscured xmlns:a14="http://schemas.microsoft.com/office/drawing/2010/main"/>
                      </a:ext>
                    </a:extLst>
                  </pic:spPr>
                </pic:pic>
              </a:graphicData>
            </a:graphic>
          </wp:inline>
        </w:drawing>
      </w:r>
    </w:p>
    <w:p w14:paraId="31C8BBB9" w14:textId="77777777" w:rsidR="008D610A" w:rsidRPr="00112315" w:rsidRDefault="000F7151" w:rsidP="00112315">
      <w:pPr>
        <w:pStyle w:val="Caption"/>
        <w:rPr>
          <w:b/>
          <w:color w:val="000000" w:themeColor="text1"/>
        </w:rPr>
        <w:sectPr w:rsidR="008D610A" w:rsidRPr="00112315" w:rsidSect="00B553BC">
          <w:headerReference w:type="even" r:id="rId47"/>
          <w:headerReference w:type="default" r:id="rId48"/>
          <w:footerReference w:type="even" r:id="rId49"/>
          <w:footerReference w:type="default" r:id="rId50"/>
          <w:headerReference w:type="first" r:id="rId51"/>
          <w:pgSz w:w="11906" w:h="16838" w:code="9"/>
          <w:pgMar w:top="720" w:right="720" w:bottom="720" w:left="720" w:header="510" w:footer="624" w:gutter="0"/>
          <w:pgNumType w:start="3"/>
          <w:cols w:space="850"/>
          <w:docGrid w:linePitch="360"/>
        </w:sectPr>
      </w:pPr>
      <w:bookmarkStart w:id="31" w:name="_Ref507091362"/>
      <w:bookmarkStart w:id="32" w:name="_Toc507621937"/>
      <w:bookmarkStart w:id="33" w:name="_Toc509991072"/>
      <w:r w:rsidRPr="00000D10">
        <w:rPr>
          <w:color w:val="000000" w:themeColor="text1"/>
        </w:rPr>
        <w:t xml:space="preserve">Figure </w:t>
      </w:r>
      <w:r w:rsidRPr="00000D10">
        <w:rPr>
          <w:b/>
          <w:color w:val="000000" w:themeColor="text1"/>
        </w:rPr>
        <w:fldChar w:fldCharType="begin"/>
      </w:r>
      <w:r w:rsidRPr="00000D10">
        <w:rPr>
          <w:color w:val="000000" w:themeColor="text1"/>
        </w:rPr>
        <w:instrText xml:space="preserve"> SEQ Figure \* ARABIC </w:instrText>
      </w:r>
      <w:r w:rsidRPr="00000D10">
        <w:rPr>
          <w:b/>
          <w:color w:val="000000" w:themeColor="text1"/>
        </w:rPr>
        <w:fldChar w:fldCharType="separate"/>
      </w:r>
      <w:r w:rsidR="00E96B43">
        <w:rPr>
          <w:noProof/>
          <w:color w:val="000000" w:themeColor="text1"/>
        </w:rPr>
        <w:t>5</w:t>
      </w:r>
      <w:r w:rsidRPr="00000D10">
        <w:rPr>
          <w:b/>
          <w:color w:val="000000" w:themeColor="text1"/>
        </w:rPr>
        <w:fldChar w:fldCharType="end"/>
      </w:r>
      <w:bookmarkEnd w:id="30"/>
      <w:bookmarkEnd w:id="31"/>
      <w:r w:rsidR="00000D10">
        <w:rPr>
          <w:color w:val="000000" w:themeColor="text1"/>
        </w:rPr>
        <w:t>.</w:t>
      </w:r>
      <w:r w:rsidR="000F4491">
        <w:rPr>
          <w:color w:val="000000" w:themeColor="text1"/>
        </w:rPr>
        <w:t xml:space="preserve"> </w:t>
      </w:r>
      <w:r w:rsidR="000F4491" w:rsidRPr="000F4491">
        <w:rPr>
          <w:color w:val="000000" w:themeColor="text1"/>
        </w:rPr>
        <w:t>A logic</w:t>
      </w:r>
      <w:r w:rsidR="001867FB">
        <w:rPr>
          <w:color w:val="000000" w:themeColor="text1"/>
        </w:rPr>
        <w:t>al</w:t>
      </w:r>
      <w:r w:rsidR="000F4491" w:rsidRPr="000F4491">
        <w:rPr>
          <w:color w:val="000000" w:themeColor="text1"/>
        </w:rPr>
        <w:t xml:space="preserve"> framework </w:t>
      </w:r>
      <w:r w:rsidR="001867FB">
        <w:rPr>
          <w:color w:val="000000" w:themeColor="text1"/>
        </w:rPr>
        <w:t xml:space="preserve">of steps </w:t>
      </w:r>
      <w:r w:rsidR="000F4491" w:rsidRPr="000F4491">
        <w:rPr>
          <w:color w:val="000000" w:themeColor="text1"/>
        </w:rPr>
        <w:t>to aid a proponent</w:t>
      </w:r>
      <w:r w:rsidR="001867FB">
        <w:rPr>
          <w:color w:val="000000" w:themeColor="text1"/>
        </w:rPr>
        <w:t>’</w:t>
      </w:r>
      <w:r w:rsidR="000F4491" w:rsidRPr="000F4491">
        <w:rPr>
          <w:color w:val="000000" w:themeColor="text1"/>
        </w:rPr>
        <w:t xml:space="preserve">s understanding of the process undertaken to inform an Environmental Impact </w:t>
      </w:r>
      <w:bookmarkEnd w:id="32"/>
      <w:r w:rsidR="00725C8B">
        <w:rPr>
          <w:color w:val="000000" w:themeColor="text1"/>
        </w:rPr>
        <w:t>Assessment</w:t>
      </w:r>
      <w:r w:rsidR="001867FB">
        <w:rPr>
          <w:color w:val="000000" w:themeColor="text1"/>
        </w:rPr>
        <w:t xml:space="preserve"> for assessing and describing potential impacts, risks and mitigation options of CSG and LCM activities on GDEs.</w:t>
      </w:r>
      <w:bookmarkEnd w:id="33"/>
    </w:p>
    <w:p w14:paraId="31C8BBBA" w14:textId="77777777" w:rsidR="00B67B3E" w:rsidRDefault="00B67B3E" w:rsidP="00B67B3E">
      <w:pPr>
        <w:pStyle w:val="Heading1"/>
        <w:pageBreakBefore w:val="0"/>
        <w:spacing w:before="480" w:after="360" w:line="240" w:lineRule="auto"/>
      </w:pPr>
      <w:bookmarkStart w:id="34" w:name="_Toc509996466"/>
      <w:bookmarkStart w:id="35" w:name="_Toc504056324"/>
      <w:r>
        <w:lastRenderedPageBreak/>
        <w:t>Identifying GDEs potentially impacted by project activities</w:t>
      </w:r>
      <w:bookmarkEnd w:id="34"/>
    </w:p>
    <w:p w14:paraId="31C8BBBB" w14:textId="77777777" w:rsidR="00B67B3E" w:rsidRDefault="00B67B3E" w:rsidP="00814423">
      <w:pPr>
        <w:pStyle w:val="Heading2"/>
      </w:pPr>
      <w:bookmarkStart w:id="36" w:name="_Toc509996467"/>
      <w:bookmarkEnd w:id="35"/>
      <w:r>
        <w:t>Identifying p</w:t>
      </w:r>
      <w:r w:rsidR="008463FF">
        <w:t xml:space="preserve">roject </w:t>
      </w:r>
      <w:r w:rsidR="00897C4D">
        <w:t xml:space="preserve">area </w:t>
      </w:r>
      <w:r w:rsidR="008463FF">
        <w:t>impact boundaries</w:t>
      </w:r>
      <w:bookmarkEnd w:id="36"/>
      <w:r w:rsidR="008463FF">
        <w:t xml:space="preserve"> </w:t>
      </w:r>
    </w:p>
    <w:p w14:paraId="31C8BBBC" w14:textId="77777777" w:rsidR="00D95EEA" w:rsidRDefault="00873B6C" w:rsidP="00814423">
      <w:pPr>
        <w:pStyle w:val="BodyText"/>
      </w:pPr>
      <w:bookmarkStart w:id="37" w:name="_Ref505869328"/>
      <w:r w:rsidRPr="00814423">
        <w:t xml:space="preserve">The area of </w:t>
      </w:r>
      <w:r w:rsidR="00897C4D">
        <w:t xml:space="preserve">potential </w:t>
      </w:r>
      <w:r w:rsidRPr="00814423">
        <w:t>impact</w:t>
      </w:r>
      <w:r w:rsidR="008463FF">
        <w:t xml:space="preserve"> from </w:t>
      </w:r>
      <w:r w:rsidR="003E1F68">
        <w:t xml:space="preserve">CSG and </w:t>
      </w:r>
      <w:r w:rsidR="008463FF">
        <w:t xml:space="preserve">LCM </w:t>
      </w:r>
      <w:r w:rsidR="00897C4D">
        <w:t xml:space="preserve">development </w:t>
      </w:r>
      <w:r w:rsidRPr="00814423">
        <w:t xml:space="preserve">will </w:t>
      </w:r>
      <w:r w:rsidR="00897C4D">
        <w:t xml:space="preserve">likely </w:t>
      </w:r>
      <w:r w:rsidR="008463FF">
        <w:t xml:space="preserve">extend </w:t>
      </w:r>
      <w:r w:rsidRPr="00814423">
        <w:t xml:space="preserve">beyond the </w:t>
      </w:r>
      <w:r w:rsidR="008463FF">
        <w:t xml:space="preserve">immediate </w:t>
      </w:r>
      <w:r w:rsidRPr="00814423">
        <w:t>project boundary</w:t>
      </w:r>
      <w:r w:rsidR="00897C4D">
        <w:t xml:space="preserve"> to</w:t>
      </w:r>
      <w:r w:rsidR="008463FF">
        <w:t xml:space="preserve"> include</w:t>
      </w:r>
      <w:r w:rsidR="00D95EEA">
        <w:t xml:space="preserve"> surrounding</w:t>
      </w:r>
      <w:r w:rsidR="008463FF">
        <w:t xml:space="preserve"> areas connected through the affected</w:t>
      </w:r>
      <w:r w:rsidR="00D95EEA">
        <w:t xml:space="preserve"> or adjacent</w:t>
      </w:r>
      <w:r w:rsidR="008463FF">
        <w:t xml:space="preserve"> aquifer</w:t>
      </w:r>
      <w:r w:rsidR="0015380A">
        <w:t xml:space="preserve">s. </w:t>
      </w:r>
      <w:r w:rsidR="00D95EEA">
        <w:t xml:space="preserve">Critically, </w:t>
      </w:r>
      <w:r w:rsidR="008463FF">
        <w:t xml:space="preserve">assessments </w:t>
      </w:r>
      <w:r w:rsidR="00D95EEA">
        <w:t xml:space="preserve">need to </w:t>
      </w:r>
      <w:r w:rsidR="008463FF">
        <w:t>consider</w:t>
      </w:r>
      <w:r w:rsidR="00D95EEA">
        <w:t xml:space="preserve"> all </w:t>
      </w:r>
      <w:r w:rsidR="008463FF">
        <w:t>GDEs</w:t>
      </w:r>
      <w:r w:rsidR="00D95EEA">
        <w:t xml:space="preserve"> that are potentially affected by a project, regardless of whether they occur inside the lease boundary or not. </w:t>
      </w:r>
      <w:r w:rsidR="00897C4D">
        <w:t>As i</w:t>
      </w:r>
      <w:r w:rsidR="00E023AA">
        <w:t xml:space="preserve">t is not feasible to wait until groundwater impact assessments provide a final boundary of groundwater impact, </w:t>
      </w:r>
      <w:r w:rsidR="00D95EEA">
        <w:t xml:space="preserve">proponents are likely to have only a rudimentary understanding of how far impacts are likely to spread. </w:t>
      </w:r>
      <w:r w:rsidR="00897C4D">
        <w:t>Therefore, i</w:t>
      </w:r>
      <w:r w:rsidR="00E023AA">
        <w:t>mpact boundaries should be drawn up</w:t>
      </w:r>
      <w:r w:rsidR="00112315">
        <w:t xml:space="preserve"> by proponents</w:t>
      </w:r>
      <w:r w:rsidR="00E023AA">
        <w:t xml:space="preserve"> based on the best available information</w:t>
      </w:r>
      <w:r w:rsidR="00BB1DD0">
        <w:t xml:space="preserve"> in the initial phases of an EIA</w:t>
      </w:r>
      <w:r w:rsidR="00E023AA">
        <w:t xml:space="preserve">, </w:t>
      </w:r>
      <w:r w:rsidR="00897C4D">
        <w:t xml:space="preserve">and </w:t>
      </w:r>
      <w:r w:rsidR="00E023AA">
        <w:t>then an appro</w:t>
      </w:r>
      <w:r w:rsidR="0015380A">
        <w:t xml:space="preserve">priate buffer should be added. </w:t>
      </w:r>
      <w:r w:rsidR="00D95EEA">
        <w:t>Th</w:t>
      </w:r>
      <w:r w:rsidR="00E023AA">
        <w:t>e impact area</w:t>
      </w:r>
      <w:r w:rsidR="00D95EEA">
        <w:t xml:space="preserve"> will be refined as project plans develop, ecological and groundwater data are collected, and the groundwater impact assessment is completed</w:t>
      </w:r>
      <w:r w:rsidR="00F746B6">
        <w:t xml:space="preserve"> (see arrow 1 in </w:t>
      </w:r>
      <w:r w:rsidR="00F746B6">
        <w:fldChar w:fldCharType="begin"/>
      </w:r>
      <w:r w:rsidR="00F746B6">
        <w:instrText xml:space="preserve"> REF _Ref507091362 \h </w:instrText>
      </w:r>
      <w:r w:rsidR="00F746B6">
        <w:fldChar w:fldCharType="separate"/>
      </w:r>
      <w:r w:rsidR="00E96B43" w:rsidRPr="00000D10">
        <w:rPr>
          <w:color w:val="000000" w:themeColor="text1"/>
        </w:rPr>
        <w:t xml:space="preserve">Figure </w:t>
      </w:r>
      <w:r w:rsidR="00E96B43">
        <w:rPr>
          <w:noProof/>
          <w:color w:val="000000" w:themeColor="text1"/>
        </w:rPr>
        <w:t>5</w:t>
      </w:r>
      <w:r w:rsidR="00F746B6">
        <w:fldChar w:fldCharType="end"/>
      </w:r>
      <w:r w:rsidR="00F746B6">
        <w:t>)</w:t>
      </w:r>
      <w:r w:rsidR="00D95EEA">
        <w:t xml:space="preserve">. </w:t>
      </w:r>
    </w:p>
    <w:p w14:paraId="31C8BBBD" w14:textId="77777777" w:rsidR="00112315" w:rsidRDefault="00112315" w:rsidP="00112315">
      <w:pPr>
        <w:pStyle w:val="Heading2"/>
      </w:pPr>
      <w:bookmarkStart w:id="38" w:name="_Toc509996468"/>
      <w:r>
        <w:t>Identify</w:t>
      </w:r>
      <w:r w:rsidR="00897C4D">
        <w:t>ing</w:t>
      </w:r>
      <w:r>
        <w:t xml:space="preserve"> GDEs in project impact area</w:t>
      </w:r>
      <w:bookmarkEnd w:id="38"/>
    </w:p>
    <w:p w14:paraId="31C8BBBE" w14:textId="77777777" w:rsidR="00821D0A" w:rsidRDefault="0004067E" w:rsidP="006A2589">
      <w:pPr>
        <w:pStyle w:val="BodyText"/>
      </w:pPr>
      <w:r w:rsidRPr="00814423">
        <w:rPr>
          <w:noProof/>
        </w:rPr>
        <w:drawing>
          <wp:anchor distT="0" distB="0" distL="114300" distR="114300" simplePos="0" relativeHeight="251818496" behindDoc="0" locked="0" layoutInCell="1" allowOverlap="1" wp14:anchorId="31C8C2E6" wp14:editId="31C8C2E7">
            <wp:simplePos x="0" y="0"/>
            <wp:positionH relativeFrom="margin">
              <wp:align>right</wp:align>
            </wp:positionH>
            <wp:positionV relativeFrom="paragraph">
              <wp:posOffset>96315</wp:posOffset>
            </wp:positionV>
            <wp:extent cx="3149600" cy="2174875"/>
            <wp:effectExtent l="0" t="0" r="0" b="0"/>
            <wp:wrapThrough wrapText="bothSides">
              <wp:wrapPolygon edited="0">
                <wp:start x="0" y="0"/>
                <wp:lineTo x="0" y="21379"/>
                <wp:lineTo x="21426" y="21379"/>
                <wp:lineTo x="2142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149600" cy="2174875"/>
                    </a:xfrm>
                    <a:prstGeom prst="rect">
                      <a:avLst/>
                    </a:prstGeom>
                    <a:noFill/>
                  </pic:spPr>
                </pic:pic>
              </a:graphicData>
            </a:graphic>
            <wp14:sizeRelH relativeFrom="margin">
              <wp14:pctWidth>0</wp14:pctWidth>
            </wp14:sizeRelH>
            <wp14:sizeRelV relativeFrom="margin">
              <wp14:pctHeight>0</wp14:pctHeight>
            </wp14:sizeRelV>
          </wp:anchor>
        </w:drawing>
      </w:r>
      <w:r w:rsidR="000F4491" w:rsidRPr="00814423">
        <w:t xml:space="preserve">The </w:t>
      </w:r>
      <w:r w:rsidR="00112315">
        <w:t>next</w:t>
      </w:r>
      <w:r w:rsidR="006A2589" w:rsidRPr="00814423">
        <w:t xml:space="preserve"> </w:t>
      </w:r>
      <w:r w:rsidR="000F4491" w:rsidRPr="00814423">
        <w:t>st</w:t>
      </w:r>
      <w:r w:rsidR="00F746B6">
        <w:t>ep is to esta</w:t>
      </w:r>
      <w:r w:rsidR="000F4491" w:rsidRPr="00814423">
        <w:t xml:space="preserve">blish where potential GDEs occur in the </w:t>
      </w:r>
      <w:r w:rsidR="0015380A">
        <w:t>project</w:t>
      </w:r>
      <w:r w:rsidR="000F4491" w:rsidRPr="00814423">
        <w:t xml:space="preserve"> impact</w:t>
      </w:r>
      <w:r w:rsidR="00F746B6">
        <w:t xml:space="preserve"> </w:t>
      </w:r>
      <w:r w:rsidR="0015380A">
        <w:t xml:space="preserve">area </w:t>
      </w:r>
      <w:r w:rsidR="00F746B6">
        <w:t xml:space="preserve">(see arrow 2 in </w:t>
      </w:r>
      <w:r w:rsidR="00F746B6">
        <w:fldChar w:fldCharType="begin"/>
      </w:r>
      <w:r w:rsidR="00F746B6">
        <w:instrText xml:space="preserve"> REF _Ref507091362 \h </w:instrText>
      </w:r>
      <w:r w:rsidR="00F746B6">
        <w:fldChar w:fldCharType="separate"/>
      </w:r>
      <w:r w:rsidR="00E96B43" w:rsidRPr="00000D10">
        <w:rPr>
          <w:color w:val="000000" w:themeColor="text1"/>
        </w:rPr>
        <w:t xml:space="preserve">Figure </w:t>
      </w:r>
      <w:r w:rsidR="00E96B43">
        <w:rPr>
          <w:noProof/>
          <w:color w:val="000000" w:themeColor="text1"/>
        </w:rPr>
        <w:t>5</w:t>
      </w:r>
      <w:r w:rsidR="00F746B6">
        <w:fldChar w:fldCharType="end"/>
      </w:r>
      <w:r w:rsidR="00F746B6">
        <w:t>)</w:t>
      </w:r>
      <w:r w:rsidR="005B3C9C">
        <w:t>.</w:t>
      </w:r>
      <w:r w:rsidR="00F746B6">
        <w:t xml:space="preserve"> </w:t>
      </w:r>
      <w:r w:rsidR="00B967A7" w:rsidRPr="00814423">
        <w:t>The objective is to generate a list</w:t>
      </w:r>
      <w:r w:rsidR="00821D0A">
        <w:t xml:space="preserve"> and </w:t>
      </w:r>
      <w:r w:rsidR="00B967A7" w:rsidRPr="00814423">
        <w:t>map ecosystems classified as subterranean, aquatic or terrestrial GDEs that have some potential reliance on groundwater.</w:t>
      </w:r>
      <w:r w:rsidR="000F4491" w:rsidRPr="00814423">
        <w:t xml:space="preserve"> </w:t>
      </w:r>
      <w:r w:rsidR="00A53581">
        <w:t>This</w:t>
      </w:r>
      <w:r w:rsidR="000F4491" w:rsidRPr="00814423">
        <w:t xml:space="preserve"> is a ‘first pass’, designed to </w:t>
      </w:r>
      <w:r w:rsidR="005B3C9C">
        <w:t>determine</w:t>
      </w:r>
      <w:r w:rsidR="000F4491" w:rsidRPr="00814423">
        <w:t xml:space="preserve"> what </w:t>
      </w:r>
      <w:r w:rsidR="00806EF3">
        <w:t xml:space="preserve">GDEs </w:t>
      </w:r>
      <w:r w:rsidR="005B3C9C">
        <w:t xml:space="preserve">exist </w:t>
      </w:r>
      <w:r w:rsidR="000F4491" w:rsidRPr="00814423">
        <w:t xml:space="preserve">in the </w:t>
      </w:r>
      <w:r w:rsidR="00806EF3">
        <w:t>project</w:t>
      </w:r>
      <w:r w:rsidR="000F4491" w:rsidRPr="00814423">
        <w:t xml:space="preserve"> area and </w:t>
      </w:r>
      <w:r w:rsidR="005B3C9C">
        <w:t xml:space="preserve">are therefore </w:t>
      </w:r>
      <w:r w:rsidR="000F4491" w:rsidRPr="00814423">
        <w:t>potentiall</w:t>
      </w:r>
      <w:r w:rsidR="00B967A7" w:rsidRPr="00814423">
        <w:t xml:space="preserve">y at risk. </w:t>
      </w:r>
    </w:p>
    <w:p w14:paraId="31C8BBBF" w14:textId="77777777" w:rsidR="000F4491" w:rsidRPr="00814423" w:rsidRDefault="00B967A7" w:rsidP="006A2589">
      <w:pPr>
        <w:pStyle w:val="BodyText"/>
      </w:pPr>
      <w:r w:rsidRPr="00814423">
        <w:t>A desktop assessment is undertaken using existing resources which are generally indirect indicators of groundwater use (e.g. maps, vegetation and wetland assessments, geological reports, groundwater data, satellite imagery</w:t>
      </w:r>
      <w:r w:rsidR="00806EF3">
        <w:t>, ecological reports</w:t>
      </w:r>
      <w:r w:rsidRPr="00814423">
        <w:t>).</w:t>
      </w:r>
      <w:r w:rsidR="000F4491" w:rsidRPr="00814423">
        <w:t xml:space="preserve"> </w:t>
      </w:r>
      <w:r w:rsidR="00E32B8C" w:rsidRPr="00814423">
        <w:t xml:space="preserve">Direct </w:t>
      </w:r>
      <w:r w:rsidR="00821D0A">
        <w:t>indicators</w:t>
      </w:r>
      <w:r w:rsidR="00E32B8C" w:rsidRPr="00814423">
        <w:t xml:space="preserve"> are obtained from field studies such as</w:t>
      </w:r>
      <w:r w:rsidR="00806EF3">
        <w:t xml:space="preserve"> those</w:t>
      </w:r>
      <w:r w:rsidR="00E32B8C" w:rsidRPr="00814423">
        <w:t xml:space="preserve"> </w:t>
      </w:r>
      <w:r w:rsidR="0015380A">
        <w:t xml:space="preserve">that </w:t>
      </w:r>
      <w:r w:rsidR="00D84D85" w:rsidRPr="00814423">
        <w:t>measur</w:t>
      </w:r>
      <w:r w:rsidR="00A53581">
        <w:t>e</w:t>
      </w:r>
      <w:r w:rsidR="00D84D85" w:rsidRPr="00814423">
        <w:t xml:space="preserve"> </w:t>
      </w:r>
      <w:r w:rsidR="00E32B8C" w:rsidRPr="00814423">
        <w:t xml:space="preserve">plant water </w:t>
      </w:r>
      <w:r w:rsidR="00E32B8C" w:rsidRPr="00DE66F8">
        <w:t>use.</w:t>
      </w:r>
    </w:p>
    <w:p w14:paraId="31C8BBC0" w14:textId="77777777" w:rsidR="000F4491" w:rsidRPr="00814423" w:rsidRDefault="00821D0A" w:rsidP="00814423">
      <w:pPr>
        <w:pStyle w:val="BodyText"/>
      </w:pPr>
      <w:r>
        <w:t>Where available, site</w:t>
      </w:r>
      <w:r w:rsidR="00A53581">
        <w:t>-</w:t>
      </w:r>
      <w:r w:rsidR="000F4491" w:rsidRPr="00814423">
        <w:t>specific information should be used to develop a conceptual understanding of the interactions</w:t>
      </w:r>
      <w:r w:rsidR="00A53581">
        <w:t xml:space="preserve"> between GDEs and groundwater (see section 5.3.1), along with potential causal pathways (section 3</w:t>
      </w:r>
      <w:r w:rsidR="0040235C">
        <w:t>.1</w:t>
      </w:r>
      <w:r w:rsidR="00A53581">
        <w:t>).</w:t>
      </w:r>
      <w:r w:rsidR="000F4491" w:rsidRPr="00814423">
        <w:t xml:space="preserve"> </w:t>
      </w:r>
      <w:r w:rsidR="00A53581">
        <w:t>H</w:t>
      </w:r>
      <w:r w:rsidR="000F4491" w:rsidRPr="00814423">
        <w:t xml:space="preserve">owever, in the absence of sufficient local information, there are regional and national databases available to undertake an initial </w:t>
      </w:r>
      <w:r w:rsidR="000F4491" w:rsidRPr="00D47213">
        <w:t>assessment</w:t>
      </w:r>
      <w:r w:rsidR="00D47213" w:rsidRPr="00D47213">
        <w:t xml:space="preserve"> (</w:t>
      </w:r>
      <w:r w:rsidR="00D47213" w:rsidRPr="00D47213">
        <w:fldChar w:fldCharType="begin"/>
      </w:r>
      <w:r w:rsidR="00D47213" w:rsidRPr="00D47213">
        <w:instrText xml:space="preserve"> REF _Ref507708552 \h  \* MERGEFORMAT </w:instrText>
      </w:r>
      <w:r w:rsidR="00D47213" w:rsidRPr="00D47213">
        <w:fldChar w:fldCharType="separate"/>
      </w:r>
      <w:r w:rsidR="00E96B43">
        <w:t xml:space="preserve">App Table </w:t>
      </w:r>
      <w:r w:rsidR="00E96B43">
        <w:rPr>
          <w:noProof/>
        </w:rPr>
        <w:t>3</w:t>
      </w:r>
      <w:r w:rsidR="00D47213" w:rsidRPr="00D47213">
        <w:fldChar w:fldCharType="end"/>
      </w:r>
      <w:r w:rsidR="00D47213" w:rsidRPr="00D47213">
        <w:t xml:space="preserve"> and</w:t>
      </w:r>
      <w:r w:rsidR="00120A1A">
        <w:t xml:space="preserve"> </w:t>
      </w:r>
      <w:r w:rsidR="00D47213" w:rsidRPr="00D47213">
        <w:fldChar w:fldCharType="begin"/>
      </w:r>
      <w:r w:rsidR="00D47213" w:rsidRPr="00D47213">
        <w:instrText xml:space="preserve"> REF _Ref507708546 \h  \* MERGEFORMAT </w:instrText>
      </w:r>
      <w:r w:rsidR="00D47213" w:rsidRPr="00D47213">
        <w:fldChar w:fldCharType="separate"/>
      </w:r>
      <w:r w:rsidR="00E96B43">
        <w:t>App</w:t>
      </w:r>
      <w:r w:rsidR="00E96B43">
        <w:rPr>
          <w:noProof/>
        </w:rPr>
        <w:t xml:space="preserve"> </w:t>
      </w:r>
      <w:r w:rsidR="00E96B43">
        <w:t xml:space="preserve">Table </w:t>
      </w:r>
      <w:r w:rsidR="00E96B43">
        <w:rPr>
          <w:noProof/>
        </w:rPr>
        <w:t>4</w:t>
      </w:r>
      <w:r w:rsidR="00D47213" w:rsidRPr="00D47213">
        <w:fldChar w:fldCharType="end"/>
      </w:r>
      <w:r w:rsidR="00D84D85" w:rsidRPr="00D47213">
        <w:t>)</w:t>
      </w:r>
      <w:r w:rsidR="000F4491" w:rsidRPr="00D47213">
        <w:t>.</w:t>
      </w:r>
      <w:r w:rsidR="00806EF3">
        <w:t xml:space="preserve"> A logical starting point for GDE assessments is the GDE Atlas </w:t>
      </w:r>
      <w:r w:rsidR="00806EF3" w:rsidRPr="00AC53FD">
        <w:t>(</w:t>
      </w:r>
      <w:hyperlink r:id="rId53" w:history="1">
        <w:r w:rsidR="003F0E91">
          <w:rPr>
            <w:rStyle w:val="Hyperlink"/>
          </w:rPr>
          <w:t>GDE Atlas</w:t>
        </w:r>
      </w:hyperlink>
      <w:r w:rsidR="00806EF3" w:rsidRPr="00AC53FD">
        <w:t>)</w:t>
      </w:r>
      <w:r w:rsidR="00806EF3">
        <w:t>.</w:t>
      </w:r>
      <w:r w:rsidR="000F4491" w:rsidRPr="00814423">
        <w:t xml:space="preserve"> </w:t>
      </w:r>
    </w:p>
    <w:p w14:paraId="31C8BBC1" w14:textId="77777777" w:rsidR="00301D7B" w:rsidRDefault="00AC53FD" w:rsidP="00301D7B">
      <w:pPr>
        <w:pStyle w:val="BodyText"/>
      </w:pPr>
      <w:r w:rsidRPr="00814423">
        <w:t>The Australian National Aquatic Ecosystem (ANAE) classification scheme aids with classifying aquatic GDEs (</w:t>
      </w:r>
      <w:hyperlink r:id="rId54" w:history="1">
        <w:r w:rsidR="003F0E91">
          <w:rPr>
            <w:rStyle w:val="Hyperlink"/>
          </w:rPr>
          <w:t>ANAE</w:t>
        </w:r>
      </w:hyperlink>
      <w:r w:rsidR="003F0E91">
        <w:t>)</w:t>
      </w:r>
      <w:r w:rsidRPr="00814423">
        <w:t xml:space="preserve"> using scale, hydrological class (</w:t>
      </w:r>
      <w:r w:rsidR="00A53581">
        <w:t xml:space="preserve">e.g., </w:t>
      </w:r>
      <w:r w:rsidRPr="00814423">
        <w:t xml:space="preserve">surface water; subterranean), </w:t>
      </w:r>
      <w:r w:rsidR="00D84D85" w:rsidRPr="00814423">
        <w:t>s</w:t>
      </w:r>
      <w:r w:rsidRPr="00814423">
        <w:t>ystem (</w:t>
      </w:r>
      <w:r w:rsidR="00A53581">
        <w:t>e.g.</w:t>
      </w:r>
      <w:r w:rsidRPr="00814423">
        <w:t xml:space="preserve"> floodplain in the surface water class) and habitat (</w:t>
      </w:r>
      <w:r w:rsidR="00A53581">
        <w:t>e.g.,</w:t>
      </w:r>
      <w:r w:rsidR="00301D7B">
        <w:t xml:space="preserve"> water type, vegetation).</w:t>
      </w:r>
    </w:p>
    <w:p w14:paraId="31C8BBC2" w14:textId="77777777" w:rsidR="00550754" w:rsidRDefault="00550754" w:rsidP="00301D7B">
      <w:pPr>
        <w:pStyle w:val="Heading3"/>
      </w:pPr>
      <w:bookmarkStart w:id="39" w:name="_Toc509996469"/>
      <w:r>
        <w:t>Key indicators</w:t>
      </w:r>
      <w:r w:rsidR="00B762AD">
        <w:t xml:space="preserve"> of groundwater dependence</w:t>
      </w:r>
      <w:bookmarkEnd w:id="39"/>
    </w:p>
    <w:p w14:paraId="31C8BBC3" w14:textId="77777777" w:rsidR="00806EF3" w:rsidRDefault="00806EF3" w:rsidP="00806EF3">
      <w:pPr>
        <w:pStyle w:val="BodyText"/>
      </w:pPr>
      <w:r>
        <w:t>L</w:t>
      </w:r>
      <w:r w:rsidRPr="00CB3D60">
        <w:t>andscape indicators represent</w:t>
      </w:r>
      <w:r>
        <w:t>ing</w:t>
      </w:r>
      <w:r w:rsidRPr="00CB3D60">
        <w:t xml:space="preserve"> GDE presence can be hydrologic, geologic, hydrogeological, climatic and</w:t>
      </w:r>
      <w:r>
        <w:t>/or</w:t>
      </w:r>
      <w:r w:rsidRPr="00CB3D60">
        <w:t xml:space="preserve"> biotic. Indicators include the presence of vegetation known to access shallow groundwater and </w:t>
      </w:r>
      <w:r w:rsidR="0015380A">
        <w:t xml:space="preserve">associated </w:t>
      </w:r>
      <w:r w:rsidRPr="00CB3D60">
        <w:t xml:space="preserve">vegetation </w:t>
      </w:r>
      <w:r w:rsidR="0015380A">
        <w:t>communities</w:t>
      </w:r>
      <w:r w:rsidRPr="00CB3D60">
        <w:t xml:space="preserve"> that are likely to be GDEs (</w:t>
      </w:r>
      <w:r>
        <w:fldChar w:fldCharType="begin"/>
      </w:r>
      <w:r>
        <w:instrText xml:space="preserve"> REF _Ref507708672 \h </w:instrText>
      </w:r>
      <w:r>
        <w:fldChar w:fldCharType="separate"/>
      </w:r>
      <w:r w:rsidR="00E96B43">
        <w:t>App</w:t>
      </w:r>
      <w:r w:rsidR="00E96B43" w:rsidRPr="00130947">
        <w:t xml:space="preserve"> Table </w:t>
      </w:r>
      <w:r w:rsidR="00E96B43">
        <w:rPr>
          <w:noProof/>
        </w:rPr>
        <w:t>5</w:t>
      </w:r>
      <w:r>
        <w:fldChar w:fldCharType="end"/>
      </w:r>
      <w:r>
        <w:t xml:space="preserve"> and </w:t>
      </w:r>
      <w:r>
        <w:fldChar w:fldCharType="begin"/>
      </w:r>
      <w:r>
        <w:instrText xml:space="preserve"> REF _Ref507708678 \h </w:instrText>
      </w:r>
      <w:r>
        <w:fldChar w:fldCharType="separate"/>
      </w:r>
      <w:r w:rsidR="00E96B43">
        <w:t xml:space="preserve">App Table </w:t>
      </w:r>
      <w:r w:rsidR="00E96B43">
        <w:rPr>
          <w:noProof/>
        </w:rPr>
        <w:t>6</w:t>
      </w:r>
      <w:r>
        <w:fldChar w:fldCharType="end"/>
      </w:r>
      <w:r w:rsidRPr="00CB3D60">
        <w:t xml:space="preserve">). </w:t>
      </w:r>
      <w:proofErr w:type="spellStart"/>
      <w:r w:rsidRPr="00CB3D60">
        <w:t>Eamus</w:t>
      </w:r>
      <w:proofErr w:type="spellEnd"/>
      <w:r w:rsidRPr="00CB3D60">
        <w:t xml:space="preserve"> et al.</w:t>
      </w:r>
      <w:r>
        <w:t xml:space="preserve"> (</w:t>
      </w:r>
      <w:r w:rsidRPr="00CB3D60">
        <w:t>2006</w:t>
      </w:r>
      <w:r>
        <w:t>)</w:t>
      </w:r>
      <w:r w:rsidRPr="00CB3D60">
        <w:t xml:space="preserve"> pose a series of questions to aid in the identification of GDEs</w:t>
      </w:r>
      <w:r>
        <w:t xml:space="preserve"> reliant on the surface expression of groundwater (</w:t>
      </w:r>
      <w:r>
        <w:fldChar w:fldCharType="begin"/>
      </w:r>
      <w:r>
        <w:instrText xml:space="preserve"> REF _Ref508891894 \h </w:instrText>
      </w:r>
      <w:r>
        <w:fldChar w:fldCharType="separate"/>
      </w:r>
      <w:r w:rsidR="00E96B43">
        <w:t xml:space="preserve">Table </w:t>
      </w:r>
      <w:r w:rsidR="00E96B43">
        <w:rPr>
          <w:noProof/>
        </w:rPr>
        <w:t>1</w:t>
      </w:r>
      <w:r>
        <w:fldChar w:fldCharType="end"/>
      </w:r>
      <w:r>
        <w:t>).</w:t>
      </w:r>
      <w:r w:rsidRPr="00CB3D60">
        <w:t xml:space="preserve"> A suggested set of ancillary data for this purpose </w:t>
      </w:r>
      <w:r w:rsidR="00A53581">
        <w:t>is</w:t>
      </w:r>
      <w:r w:rsidR="00A53581" w:rsidRPr="00CB3D60">
        <w:t xml:space="preserve"> </w:t>
      </w:r>
      <w:r w:rsidRPr="00CB3D60">
        <w:t xml:space="preserve">presented in </w:t>
      </w:r>
      <w:r>
        <w:fldChar w:fldCharType="begin"/>
      </w:r>
      <w:r>
        <w:instrText xml:space="preserve"> REF _Ref507708552 \h </w:instrText>
      </w:r>
      <w:r>
        <w:fldChar w:fldCharType="separate"/>
      </w:r>
      <w:r w:rsidR="00E96B43">
        <w:t xml:space="preserve">App Table </w:t>
      </w:r>
      <w:r w:rsidR="00E96B43">
        <w:rPr>
          <w:noProof/>
        </w:rPr>
        <w:t>3</w:t>
      </w:r>
      <w:r>
        <w:fldChar w:fldCharType="end"/>
      </w:r>
      <w:r w:rsidRPr="00CB3D60">
        <w:t xml:space="preserve">. </w:t>
      </w:r>
    </w:p>
    <w:p w14:paraId="31C8BBC4" w14:textId="77777777" w:rsidR="00806EF3" w:rsidRDefault="00806EF3" w:rsidP="00806EF3">
      <w:pPr>
        <w:pStyle w:val="Caption"/>
      </w:pPr>
      <w:bookmarkStart w:id="40" w:name="_Ref508891894"/>
      <w:bookmarkStart w:id="41" w:name="_Toc509991064"/>
      <w:r>
        <w:lastRenderedPageBreak/>
        <w:t xml:space="preserve">Table </w:t>
      </w:r>
      <w:r w:rsidR="00085933">
        <w:fldChar w:fldCharType="begin"/>
      </w:r>
      <w:r w:rsidR="00085933">
        <w:instrText xml:space="preserve"> SEQ Table \* ARABIC </w:instrText>
      </w:r>
      <w:r w:rsidR="00085933">
        <w:fldChar w:fldCharType="separate"/>
      </w:r>
      <w:r w:rsidR="00E96B43">
        <w:rPr>
          <w:noProof/>
        </w:rPr>
        <w:t>1</w:t>
      </w:r>
      <w:r w:rsidR="00085933">
        <w:rPr>
          <w:noProof/>
        </w:rPr>
        <w:fldChar w:fldCharType="end"/>
      </w:r>
      <w:bookmarkEnd w:id="40"/>
      <w:r>
        <w:t>. Questions to guide the assessment of groundwater use in ecosystems (</w:t>
      </w:r>
      <w:proofErr w:type="spellStart"/>
      <w:r>
        <w:t>Eamus</w:t>
      </w:r>
      <w:proofErr w:type="spellEnd"/>
      <w:r>
        <w:t xml:space="preserve"> et al</w:t>
      </w:r>
      <w:r w:rsidR="00120A1A">
        <w:t>.,</w:t>
      </w:r>
      <w:r>
        <w:t xml:space="preserve"> 2006).</w:t>
      </w:r>
      <w:r w:rsidR="006628D5">
        <w:t xml:space="preserve"> Questions are cross</w:t>
      </w:r>
      <w:r w:rsidR="00E11C73">
        <w:t>-</w:t>
      </w:r>
      <w:r w:rsidR="006628D5">
        <w:t xml:space="preserve">referenced to GDE rule sets shown in </w:t>
      </w:r>
      <w:r w:rsidR="006628D5" w:rsidRPr="00471E8C">
        <w:fldChar w:fldCharType="begin"/>
      </w:r>
      <w:r w:rsidR="006628D5" w:rsidRPr="00471E8C">
        <w:instrText xml:space="preserve"> REF _Ref507708759 \h </w:instrText>
      </w:r>
      <w:r w:rsidR="003C0368" w:rsidRPr="00471E8C">
        <w:instrText xml:space="preserve"> \* MERGEFORMAT </w:instrText>
      </w:r>
      <w:r w:rsidR="006628D5" w:rsidRPr="00471E8C">
        <w:fldChar w:fldCharType="separate"/>
      </w:r>
      <w:r w:rsidR="00E96B43">
        <w:t xml:space="preserve">App Table </w:t>
      </w:r>
      <w:r w:rsidR="00E96B43">
        <w:rPr>
          <w:noProof/>
        </w:rPr>
        <w:t>7</w:t>
      </w:r>
      <w:bookmarkEnd w:id="41"/>
      <w:r w:rsidR="006628D5" w:rsidRPr="00471E8C">
        <w:fldChar w:fldCharType="end"/>
      </w:r>
    </w:p>
    <w:tbl>
      <w:tblPr>
        <w:tblStyle w:val="TableCSIRO"/>
        <w:tblW w:w="0" w:type="auto"/>
        <w:jc w:val="center"/>
        <w:tblInd w:w="0" w:type="dxa"/>
        <w:tblLook w:val="04A0" w:firstRow="1" w:lastRow="0" w:firstColumn="1" w:lastColumn="0" w:noHBand="0" w:noVBand="1"/>
      </w:tblPr>
      <w:tblGrid>
        <w:gridCol w:w="1588"/>
        <w:gridCol w:w="7937"/>
      </w:tblGrid>
      <w:tr w:rsidR="006628D5" w14:paraId="31C8BBC7" w14:textId="77777777" w:rsidTr="006628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C5" w14:textId="77777777" w:rsidR="006628D5" w:rsidRDefault="00BB1DD0" w:rsidP="006628D5">
            <w:pPr>
              <w:pStyle w:val="BodyText"/>
              <w:rPr>
                <w:color w:val="FFFFFF" w:themeColor="background1"/>
              </w:rPr>
            </w:pPr>
            <w:r>
              <w:rPr>
                <w:color w:val="FFFFFF" w:themeColor="background1"/>
              </w:rPr>
              <w:t>Cross reference to App</w:t>
            </w:r>
            <w:r w:rsidR="006628D5">
              <w:rPr>
                <w:color w:val="FFFFFF" w:themeColor="background1"/>
              </w:rPr>
              <w:t xml:space="preserve"> Table 6</w:t>
            </w:r>
          </w:p>
        </w:tc>
        <w:tc>
          <w:tcPr>
            <w:tcW w:w="7937" w:type="dxa"/>
          </w:tcPr>
          <w:p w14:paraId="31C8BBC6" w14:textId="77777777" w:rsidR="006628D5" w:rsidRPr="00806EF3" w:rsidRDefault="006628D5" w:rsidP="007B0DF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Positive answers to the following questions suggest an ecosystem may use groundwater:</w:t>
            </w:r>
          </w:p>
        </w:tc>
      </w:tr>
      <w:tr w:rsidR="006628D5" w14:paraId="31C8BBCA" w14:textId="77777777" w:rsidTr="006628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C8" w14:textId="77777777" w:rsidR="006628D5" w:rsidRPr="00806EF3" w:rsidRDefault="006628D5" w:rsidP="007B0DF1">
            <w:r>
              <w:t>1</w:t>
            </w:r>
          </w:p>
        </w:tc>
        <w:tc>
          <w:tcPr>
            <w:tcW w:w="7937" w:type="dxa"/>
          </w:tcPr>
          <w:p w14:paraId="31C8BBC9" w14:textId="77777777" w:rsidR="006628D5" w:rsidRPr="00806EF3" w:rsidRDefault="006628D5" w:rsidP="00E11C73">
            <w:pPr>
              <w:cnfStyle w:val="000000100000" w:firstRow="0" w:lastRow="0" w:firstColumn="0" w:lastColumn="0" w:oddVBand="0" w:evenVBand="0" w:oddHBand="1" w:evenHBand="0" w:firstRowFirstColumn="0" w:firstRowLastColumn="0" w:lastRowFirstColumn="0" w:lastRowLastColumn="0"/>
              <w:rPr>
                <w:b/>
              </w:rPr>
            </w:pPr>
            <w:r w:rsidRPr="00806EF3">
              <w:t xml:space="preserve">Does a stream/river continue to flow all year, despite prolonged periods of zero or very low rainfall? </w:t>
            </w:r>
          </w:p>
        </w:tc>
      </w:tr>
      <w:tr w:rsidR="006628D5" w14:paraId="31C8BBCD" w14:textId="77777777" w:rsidTr="006628D5">
        <w:trPr>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CB" w14:textId="77777777" w:rsidR="006628D5" w:rsidRPr="00806EF3" w:rsidRDefault="006628D5" w:rsidP="007B0DF1">
            <w:r>
              <w:t>2</w:t>
            </w:r>
          </w:p>
        </w:tc>
        <w:tc>
          <w:tcPr>
            <w:tcW w:w="7937" w:type="dxa"/>
          </w:tcPr>
          <w:p w14:paraId="31C8BBCC" w14:textId="77777777" w:rsidR="006628D5" w:rsidRPr="00806EF3" w:rsidRDefault="006628D5" w:rsidP="007B0DF1">
            <w:pPr>
              <w:cnfStyle w:val="000000000000" w:firstRow="0" w:lastRow="0" w:firstColumn="0" w:lastColumn="0" w:oddVBand="0" w:evenVBand="0" w:oddHBand="0" w:evenHBand="0" w:firstRowFirstColumn="0" w:firstRowLastColumn="0" w:lastRowFirstColumn="0" w:lastRowLastColumn="0"/>
              <w:rPr>
                <w:b/>
              </w:rPr>
            </w:pPr>
            <w:r w:rsidRPr="00806EF3">
              <w:t xml:space="preserve">For estuarine systems, does the salinity drop below that of seawater in the absence of surface water inputs (e.g. tributaries or stormwater)? </w:t>
            </w:r>
          </w:p>
        </w:tc>
      </w:tr>
      <w:tr w:rsidR="006628D5" w14:paraId="31C8BBD0" w14:textId="77777777" w:rsidTr="006628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CE" w14:textId="77777777" w:rsidR="006628D5" w:rsidRPr="00806EF3" w:rsidRDefault="006628D5" w:rsidP="007B0DF1">
            <w:r>
              <w:t>3</w:t>
            </w:r>
          </w:p>
        </w:tc>
        <w:tc>
          <w:tcPr>
            <w:tcW w:w="7937" w:type="dxa"/>
          </w:tcPr>
          <w:p w14:paraId="31C8BBCF" w14:textId="77777777" w:rsidR="006628D5" w:rsidRPr="00806EF3" w:rsidRDefault="006628D5" w:rsidP="007B0DF1">
            <w:pPr>
              <w:cnfStyle w:val="000000100000" w:firstRow="0" w:lastRow="0" w:firstColumn="0" w:lastColumn="0" w:oddVBand="0" w:evenVBand="0" w:oddHBand="1" w:evenHBand="0" w:firstRowFirstColumn="0" w:firstRowLastColumn="0" w:lastRowFirstColumn="0" w:lastRowLastColumn="0"/>
              <w:rPr>
                <w:b/>
              </w:rPr>
            </w:pPr>
            <w:r w:rsidRPr="00806EF3">
              <w:t xml:space="preserve">Does the volume </w:t>
            </w:r>
            <w:r w:rsidR="00E11C73">
              <w:t xml:space="preserve">of </w:t>
            </w:r>
            <w:r w:rsidRPr="00806EF3">
              <w:t xml:space="preserve">flow in a stream/river increase downstream in the absence of inflow from a tributary? </w:t>
            </w:r>
          </w:p>
        </w:tc>
      </w:tr>
      <w:tr w:rsidR="006628D5" w14:paraId="31C8BBD3" w14:textId="77777777" w:rsidTr="006628D5">
        <w:trPr>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D1" w14:textId="77777777" w:rsidR="006628D5" w:rsidRPr="00806EF3" w:rsidRDefault="006628D5" w:rsidP="007B0DF1">
            <w:r>
              <w:t>4</w:t>
            </w:r>
          </w:p>
        </w:tc>
        <w:tc>
          <w:tcPr>
            <w:tcW w:w="7937" w:type="dxa"/>
          </w:tcPr>
          <w:p w14:paraId="31C8BBD2" w14:textId="77777777" w:rsidR="006628D5" w:rsidRPr="00806EF3" w:rsidRDefault="006628D5" w:rsidP="007B0DF1">
            <w:pPr>
              <w:cnfStyle w:val="000000000000" w:firstRow="0" w:lastRow="0" w:firstColumn="0" w:lastColumn="0" w:oddVBand="0" w:evenVBand="0" w:oddHBand="0" w:evenHBand="0" w:firstRowFirstColumn="0" w:firstRowLastColumn="0" w:lastRowFirstColumn="0" w:lastRowLastColumn="0"/>
              <w:rPr>
                <w:b/>
              </w:rPr>
            </w:pPr>
            <w:r w:rsidRPr="00806EF3">
              <w:t xml:space="preserve">Is the level of water in a wetland/swamp maintained during extended dry periods? </w:t>
            </w:r>
          </w:p>
        </w:tc>
      </w:tr>
      <w:tr w:rsidR="006628D5" w14:paraId="31C8BBD6" w14:textId="77777777" w:rsidTr="006628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D4" w14:textId="77777777" w:rsidR="006628D5" w:rsidRPr="00806EF3" w:rsidRDefault="006628D5" w:rsidP="007B0DF1">
            <w:pPr>
              <w:pStyle w:val="BodyText"/>
            </w:pPr>
            <w:r>
              <w:t>5</w:t>
            </w:r>
          </w:p>
        </w:tc>
        <w:tc>
          <w:tcPr>
            <w:tcW w:w="7937" w:type="dxa"/>
          </w:tcPr>
          <w:p w14:paraId="31C8BBD5" w14:textId="77777777" w:rsidR="006628D5" w:rsidRPr="00806EF3" w:rsidRDefault="006628D5" w:rsidP="00E11C73">
            <w:pPr>
              <w:pStyle w:val="BodyText"/>
              <w:cnfStyle w:val="000000100000" w:firstRow="0" w:lastRow="0" w:firstColumn="0" w:lastColumn="0" w:oddVBand="0" w:evenVBand="0" w:oddHBand="1" w:evenHBand="0" w:firstRowFirstColumn="0" w:firstRowLastColumn="0" w:lastRowFirstColumn="0" w:lastRowLastColumn="0"/>
              <w:rPr>
                <w:b/>
              </w:rPr>
            </w:pPr>
            <w:r w:rsidRPr="00806EF3">
              <w:t xml:space="preserve">Is groundwater discharged to the surface for significant periods of time each year or at critical times during the lifetime of the dominant vegetation type? </w:t>
            </w:r>
          </w:p>
        </w:tc>
      </w:tr>
      <w:tr w:rsidR="006628D5" w14:paraId="31C8BBD9" w14:textId="77777777" w:rsidTr="006628D5">
        <w:trPr>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D7" w14:textId="77777777" w:rsidR="006628D5" w:rsidRPr="00806EF3" w:rsidRDefault="006628D5" w:rsidP="007B0DF1">
            <w:r>
              <w:t>6</w:t>
            </w:r>
          </w:p>
        </w:tc>
        <w:tc>
          <w:tcPr>
            <w:tcW w:w="7937" w:type="dxa"/>
          </w:tcPr>
          <w:p w14:paraId="31C8BBD8" w14:textId="77777777" w:rsidR="006628D5" w:rsidRPr="00806EF3" w:rsidRDefault="006628D5" w:rsidP="00E11C73">
            <w:pPr>
              <w:cnfStyle w:val="000000000000" w:firstRow="0" w:lastRow="0" w:firstColumn="0" w:lastColumn="0" w:oddVBand="0" w:evenVBand="0" w:oddHBand="0" w:evenHBand="0" w:firstRowFirstColumn="0" w:firstRowLastColumn="0" w:lastRowFirstColumn="0" w:lastRowLastColumn="0"/>
              <w:rPr>
                <w:b/>
              </w:rPr>
            </w:pPr>
            <w:r w:rsidRPr="00806EF3">
              <w:t xml:space="preserve">Is the vegetation associated with the surface discharge of groundwater different (in terms of species composition, </w:t>
            </w:r>
            <w:proofErr w:type="spellStart"/>
            <w:r w:rsidRPr="00806EF3">
              <w:t>phenological</w:t>
            </w:r>
            <w:proofErr w:type="spellEnd"/>
            <w:r w:rsidRPr="00806EF3">
              <w:t xml:space="preserve"> pattern, leaf area index or vegetation structure) from vegetation close</w:t>
            </w:r>
            <w:r w:rsidR="00E11C73">
              <w:t xml:space="preserve"> </w:t>
            </w:r>
            <w:r w:rsidRPr="00806EF3">
              <w:t xml:space="preserve">by but which is not accessing this groundwater? </w:t>
            </w:r>
          </w:p>
        </w:tc>
      </w:tr>
      <w:tr w:rsidR="006628D5" w14:paraId="31C8BBDC" w14:textId="77777777" w:rsidTr="006628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DA" w14:textId="77777777" w:rsidR="006628D5" w:rsidRPr="00806EF3" w:rsidRDefault="006628D5" w:rsidP="007B0DF1">
            <w:r>
              <w:t>7</w:t>
            </w:r>
          </w:p>
        </w:tc>
        <w:tc>
          <w:tcPr>
            <w:tcW w:w="7937" w:type="dxa"/>
          </w:tcPr>
          <w:p w14:paraId="31C8BBDB" w14:textId="77777777" w:rsidR="006628D5" w:rsidRPr="00806EF3" w:rsidRDefault="006628D5" w:rsidP="00E11C73">
            <w:pPr>
              <w:cnfStyle w:val="000000100000" w:firstRow="0" w:lastRow="0" w:firstColumn="0" w:lastColumn="0" w:oddVBand="0" w:evenVBand="0" w:oddHBand="1" w:evenHBand="0" w:firstRowFirstColumn="0" w:firstRowLastColumn="0" w:lastRowFirstColumn="0" w:lastRowLastColumn="0"/>
              <w:rPr>
                <w:b/>
              </w:rPr>
            </w:pPr>
            <w:r w:rsidRPr="00806EF3">
              <w:t xml:space="preserve">Is the annual rate of water use by the vegetation significantly larger than annual rainfall at the site and the site </w:t>
            </w:r>
            <w:r w:rsidR="00E11C73">
              <w:t xml:space="preserve">does not receive </w:t>
            </w:r>
            <w:r w:rsidRPr="00806EF3">
              <w:t xml:space="preserve">either sub-surface or surface run-on? </w:t>
            </w:r>
          </w:p>
        </w:tc>
      </w:tr>
      <w:tr w:rsidR="006628D5" w14:paraId="31C8BBDF" w14:textId="77777777" w:rsidTr="006628D5">
        <w:trPr>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DD" w14:textId="77777777" w:rsidR="006628D5" w:rsidRPr="00806EF3" w:rsidRDefault="006628D5" w:rsidP="007B0DF1">
            <w:r>
              <w:t>8</w:t>
            </w:r>
          </w:p>
        </w:tc>
        <w:tc>
          <w:tcPr>
            <w:tcW w:w="7937" w:type="dxa"/>
          </w:tcPr>
          <w:p w14:paraId="31C8BBDE" w14:textId="77777777" w:rsidR="006628D5" w:rsidRPr="00806EF3" w:rsidRDefault="006628D5" w:rsidP="007B0DF1">
            <w:pPr>
              <w:cnfStyle w:val="000000000000" w:firstRow="0" w:lastRow="0" w:firstColumn="0" w:lastColumn="0" w:oddVBand="0" w:evenVBand="0" w:oddHBand="0" w:evenHBand="0" w:firstRowFirstColumn="0" w:firstRowLastColumn="0" w:lastRowFirstColumn="0" w:lastRowLastColumn="0"/>
              <w:rPr>
                <w:b/>
              </w:rPr>
            </w:pPr>
            <w:r w:rsidRPr="00806EF3">
              <w:t xml:space="preserve">Are plant water relations (especially pre-dawn and mid-day water potentials and transpiration rates) indicative of less water stress (potentials closer to zero; transpiration rate larger) than vegetation located nearby but not accessing the groundwater discharged at the surface? The best time to measure this is during rain-less periods. </w:t>
            </w:r>
          </w:p>
        </w:tc>
      </w:tr>
      <w:tr w:rsidR="006628D5" w14:paraId="31C8BBE2" w14:textId="77777777" w:rsidTr="006628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14:paraId="31C8BBE0" w14:textId="77777777" w:rsidR="006628D5" w:rsidRPr="00806EF3" w:rsidRDefault="006628D5" w:rsidP="007B0DF1">
            <w:r>
              <w:t>9</w:t>
            </w:r>
          </w:p>
        </w:tc>
        <w:tc>
          <w:tcPr>
            <w:tcW w:w="7937" w:type="dxa"/>
          </w:tcPr>
          <w:p w14:paraId="31C8BBE1" w14:textId="77777777" w:rsidR="006628D5" w:rsidRPr="00806EF3" w:rsidRDefault="006628D5" w:rsidP="007B0DF1">
            <w:pPr>
              <w:cnfStyle w:val="000000100000" w:firstRow="0" w:lastRow="0" w:firstColumn="0" w:lastColumn="0" w:oddVBand="0" w:evenVBand="0" w:oddHBand="1" w:evenHBand="0" w:firstRowFirstColumn="0" w:firstRowLastColumn="0" w:lastRowFirstColumn="0" w:lastRowLastColumn="0"/>
              <w:rPr>
                <w:b/>
              </w:rPr>
            </w:pPr>
            <w:r w:rsidRPr="00806EF3">
              <w:t>Is occasional (or habitual) groundwater release at the surface associated with key developmental stages of the vegetation (such as flowering, germination, seedling establishment)?</w:t>
            </w:r>
          </w:p>
        </w:tc>
      </w:tr>
    </w:tbl>
    <w:p w14:paraId="31C8BBE3" w14:textId="77777777" w:rsidR="00301D7B" w:rsidRDefault="00806EF3" w:rsidP="00301D7B">
      <w:pPr>
        <w:pStyle w:val="BodyText"/>
      </w:pPr>
      <w:r w:rsidRPr="00094757">
        <w:t xml:space="preserve">There are some common decision rules of </w:t>
      </w:r>
      <w:r>
        <w:t>groundwater</w:t>
      </w:r>
      <w:r w:rsidRPr="00094757">
        <w:t xml:space="preserve"> dependence that guide GDE identification. For example</w:t>
      </w:r>
      <w:r w:rsidR="0015380A">
        <w:t>,</w:t>
      </w:r>
      <w:r w:rsidRPr="00094757">
        <w:t xml:space="preserve"> vegetation associated with shallow groundwater (less than 10</w:t>
      </w:r>
      <w:r>
        <w:t xml:space="preserve"> </w:t>
      </w:r>
      <w:r w:rsidRPr="00094757">
        <w:t>m) are likely to be GDEs as they can often quite easily reach and extract groundwater (</w:t>
      </w:r>
      <w:proofErr w:type="spellStart"/>
      <w:r w:rsidRPr="00094757">
        <w:t>Canadell</w:t>
      </w:r>
      <w:proofErr w:type="spellEnd"/>
      <w:r w:rsidRPr="00094757">
        <w:t xml:space="preserve"> et al., 1996). </w:t>
      </w:r>
      <w:r>
        <w:fldChar w:fldCharType="begin"/>
      </w:r>
      <w:r>
        <w:instrText xml:space="preserve"> REF _Ref507708759 \h </w:instrText>
      </w:r>
      <w:r>
        <w:fldChar w:fldCharType="separate"/>
      </w:r>
      <w:r w:rsidR="00E96B43">
        <w:t xml:space="preserve">App Table </w:t>
      </w:r>
      <w:r w:rsidR="00E96B43">
        <w:rPr>
          <w:noProof/>
        </w:rPr>
        <w:t>7</w:t>
      </w:r>
      <w:r>
        <w:fldChar w:fldCharType="end"/>
      </w:r>
      <w:r>
        <w:t xml:space="preserve"> </w:t>
      </w:r>
      <w:r w:rsidRPr="00094757">
        <w:t>provides a list of guiding rules used in the GDE Atlas.</w:t>
      </w:r>
    </w:p>
    <w:p w14:paraId="31C8BBE4" w14:textId="77777777" w:rsidR="000F4491" w:rsidRPr="003262B5" w:rsidRDefault="00301D7B" w:rsidP="00301D7B">
      <w:pPr>
        <w:pStyle w:val="Heading3"/>
      </w:pPr>
      <w:bookmarkStart w:id="42" w:name="_Toc509996470"/>
      <w:r>
        <w:t>A</w:t>
      </w:r>
      <w:r w:rsidR="00BC3FA5">
        <w:rPr>
          <w:noProof/>
        </w:rPr>
        <w:drawing>
          <wp:anchor distT="0" distB="0" distL="114300" distR="114300" simplePos="0" relativeHeight="251877888" behindDoc="1" locked="0" layoutInCell="1" allowOverlap="1" wp14:anchorId="31C8C2E8" wp14:editId="31C8C2E9">
            <wp:simplePos x="0" y="0"/>
            <wp:positionH relativeFrom="margin">
              <wp:posOffset>3942715</wp:posOffset>
            </wp:positionH>
            <wp:positionV relativeFrom="paragraph">
              <wp:posOffset>556260</wp:posOffset>
            </wp:positionV>
            <wp:extent cx="2609215" cy="1739900"/>
            <wp:effectExtent l="0" t="0" r="635" b="0"/>
            <wp:wrapTight wrapText="bothSides">
              <wp:wrapPolygon edited="0">
                <wp:start x="0" y="0"/>
                <wp:lineTo x="0" y="21285"/>
                <wp:lineTo x="21448" y="21285"/>
                <wp:lineTo x="2144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7999v1.jpg"/>
                    <pic:cNvPicPr/>
                  </pic:nvPicPr>
                  <pic:blipFill>
                    <a:blip r:embed="rId55" cstate="email">
                      <a:extLst>
                        <a:ext uri="{28A0092B-C50C-407E-A947-70E740481C1C}">
                          <a14:useLocalDpi xmlns:a14="http://schemas.microsoft.com/office/drawing/2010/main"/>
                        </a:ext>
                      </a:extLst>
                    </a:blip>
                    <a:stretch>
                      <a:fillRect/>
                    </a:stretch>
                  </pic:blipFill>
                  <pic:spPr>
                    <a:xfrm>
                      <a:off x="0" y="0"/>
                      <a:ext cx="2609215" cy="1739900"/>
                    </a:xfrm>
                    <a:prstGeom prst="rect">
                      <a:avLst/>
                    </a:prstGeom>
                  </pic:spPr>
                </pic:pic>
              </a:graphicData>
            </a:graphic>
            <wp14:sizeRelH relativeFrom="margin">
              <wp14:pctWidth>0</wp14:pctWidth>
            </wp14:sizeRelH>
            <wp14:sizeRelV relativeFrom="margin">
              <wp14:pctHeight>0</wp14:pctHeight>
            </wp14:sizeRelV>
          </wp:anchor>
        </w:drawing>
      </w:r>
      <w:r w:rsidR="000F4491" w:rsidRPr="003262B5">
        <w:t>ncillary data sets and expert knowledge</w:t>
      </w:r>
      <w:bookmarkEnd w:id="42"/>
    </w:p>
    <w:p w14:paraId="31C8BBE5" w14:textId="77777777" w:rsidR="006F2860" w:rsidRDefault="00AC53FD" w:rsidP="007E0B52">
      <w:pPr>
        <w:pStyle w:val="BodyText"/>
      </w:pPr>
      <w:r w:rsidRPr="00AC53FD">
        <w:t xml:space="preserve">In a ‘first pass’ assessment of </w:t>
      </w:r>
      <w:r w:rsidR="00806EF3">
        <w:t xml:space="preserve">potential </w:t>
      </w:r>
      <w:r w:rsidRPr="00AC53FD">
        <w:t>GDE</w:t>
      </w:r>
      <w:r w:rsidR="00806EF3">
        <w:t>s</w:t>
      </w:r>
      <w:r w:rsidRPr="00AC53FD">
        <w:t xml:space="preserve"> </w:t>
      </w:r>
      <w:r w:rsidR="00806EF3">
        <w:t>in the impact area</w:t>
      </w:r>
      <w:r w:rsidRPr="00AC53FD">
        <w:t xml:space="preserve">, data sets and information can be collated to help represent some of the variables of the indicators above. Mapping the likely presence of GDEs at this stage is a process of overlaying spatial data in a geographic information system (GIS) and incorporating known GDE information to </w:t>
      </w:r>
      <w:r w:rsidR="00806EF3">
        <w:t>illustrate</w:t>
      </w:r>
      <w:r w:rsidRPr="00AC53FD">
        <w:t xml:space="preserve"> </w:t>
      </w:r>
      <w:r w:rsidR="009A0DC5">
        <w:t>the locations of</w:t>
      </w:r>
      <w:r w:rsidR="009A0DC5" w:rsidRPr="00AC53FD">
        <w:t xml:space="preserve"> </w:t>
      </w:r>
      <w:r w:rsidRPr="00AC53FD">
        <w:t>ecosystems that potentially use groundwater and the</w:t>
      </w:r>
      <w:r w:rsidR="00806EF3">
        <w:t>ir likely</w:t>
      </w:r>
      <w:r w:rsidRPr="00AC53FD">
        <w:t xml:space="preserve"> GDE typ</w:t>
      </w:r>
      <w:r w:rsidR="00806EF3">
        <w:t>e</w:t>
      </w:r>
      <w:r w:rsidRPr="00AC53FD">
        <w:t xml:space="preserve">. </w:t>
      </w:r>
      <w:r w:rsidR="00806EF3">
        <w:t>I</w:t>
      </w:r>
      <w:r w:rsidRPr="00AC53FD">
        <w:t xml:space="preserve">n the GDE Toolbox, this step is referred to as Tool 1 – </w:t>
      </w:r>
      <w:r w:rsidRPr="00606527">
        <w:t xml:space="preserve">Landscape mapping </w:t>
      </w:r>
      <w:r w:rsidR="00606527" w:rsidRPr="00606527">
        <w:t>(</w:t>
      </w:r>
      <w:r w:rsidR="00FB3225" w:rsidRPr="00606527">
        <w:rPr>
          <w:color w:val="000000" w:themeColor="text1"/>
        </w:rPr>
        <w:fldChar w:fldCharType="begin"/>
      </w:r>
      <w:r w:rsidR="00FB3225" w:rsidRPr="00606527">
        <w:instrText xml:space="preserve"> REF _Ref507707870 \h </w:instrText>
      </w:r>
      <w:r w:rsidR="00606527" w:rsidRPr="00606527">
        <w:rPr>
          <w:color w:val="000000" w:themeColor="text1"/>
        </w:rPr>
        <w:instrText xml:space="preserve"> \* MERGEFORMAT </w:instrText>
      </w:r>
      <w:r w:rsidR="00FB3225" w:rsidRPr="00606527">
        <w:rPr>
          <w:color w:val="000000" w:themeColor="text1"/>
        </w:rPr>
      </w:r>
      <w:r w:rsidR="00FB3225" w:rsidRPr="00606527">
        <w:rPr>
          <w:color w:val="000000" w:themeColor="text1"/>
        </w:rPr>
        <w:fldChar w:fldCharType="separate"/>
      </w:r>
      <w:r w:rsidR="00E96B43">
        <w:t xml:space="preserve">App Table </w:t>
      </w:r>
      <w:r w:rsidR="00E96B43">
        <w:rPr>
          <w:noProof/>
        </w:rPr>
        <w:t>2</w:t>
      </w:r>
      <w:r w:rsidR="00FB3225" w:rsidRPr="00606527">
        <w:rPr>
          <w:color w:val="000000" w:themeColor="text1"/>
        </w:rPr>
        <w:fldChar w:fldCharType="end"/>
      </w:r>
      <w:r w:rsidRPr="00606527">
        <w:t xml:space="preserve"> ). A non-exhaustive list of example spatial data layers is given in </w:t>
      </w:r>
      <w:r w:rsidR="00FB3225" w:rsidRPr="00606527">
        <w:fldChar w:fldCharType="begin"/>
      </w:r>
      <w:r w:rsidR="00FB3225" w:rsidRPr="00606527">
        <w:instrText xml:space="preserve"> REF _Ref507708552 \h </w:instrText>
      </w:r>
      <w:r w:rsidR="00606527">
        <w:instrText xml:space="preserve"> \* MERGEFORMAT </w:instrText>
      </w:r>
      <w:r w:rsidR="00FB3225" w:rsidRPr="00606527">
        <w:fldChar w:fldCharType="separate"/>
      </w:r>
      <w:r w:rsidR="00E96B43">
        <w:t xml:space="preserve">App Table </w:t>
      </w:r>
      <w:r w:rsidR="00E96B43">
        <w:rPr>
          <w:noProof/>
        </w:rPr>
        <w:t>3</w:t>
      </w:r>
      <w:r w:rsidR="00FB3225" w:rsidRPr="00606527">
        <w:fldChar w:fldCharType="end"/>
      </w:r>
      <w:r w:rsidR="009A0DC5">
        <w:t>,</w:t>
      </w:r>
      <w:r w:rsidRPr="00606527">
        <w:t xml:space="preserve"> with links to national and state data sets </w:t>
      </w:r>
      <w:r w:rsidR="00821D0A">
        <w:t>(</w:t>
      </w:r>
      <w:r w:rsidRPr="00606527">
        <w:t xml:space="preserve">in </w:t>
      </w:r>
      <w:r w:rsidR="00FB3225" w:rsidRPr="00606527">
        <w:fldChar w:fldCharType="begin"/>
      </w:r>
      <w:r w:rsidR="00FB3225" w:rsidRPr="00606527">
        <w:instrText xml:space="preserve"> REF _Ref507708546 \h </w:instrText>
      </w:r>
      <w:r w:rsidR="00606527">
        <w:instrText xml:space="preserve"> \* MERGEFORMAT </w:instrText>
      </w:r>
      <w:r w:rsidR="00FB3225" w:rsidRPr="00606527">
        <w:fldChar w:fldCharType="separate"/>
      </w:r>
      <w:r w:rsidR="00E96B43">
        <w:t xml:space="preserve">App Table </w:t>
      </w:r>
      <w:r w:rsidR="00E96B43">
        <w:rPr>
          <w:noProof/>
        </w:rPr>
        <w:t>4</w:t>
      </w:r>
      <w:r w:rsidR="00FB3225" w:rsidRPr="00606527">
        <w:fldChar w:fldCharType="end"/>
      </w:r>
      <w:r w:rsidR="00821D0A">
        <w:t>)</w:t>
      </w:r>
      <w:r w:rsidRPr="00606527">
        <w:t xml:space="preserve">. Online resources, such as the GDE Atlas can also be used. The initial search </w:t>
      </w:r>
      <w:r w:rsidR="004F1D33" w:rsidRPr="00821D0A">
        <w:rPr>
          <w:b/>
        </w:rPr>
        <w:t>must</w:t>
      </w:r>
      <w:r w:rsidR="004F1D33" w:rsidRPr="00606527">
        <w:t xml:space="preserve"> be</w:t>
      </w:r>
      <w:r w:rsidR="00AC7E31" w:rsidRPr="00606527">
        <w:t xml:space="preserve"> more comprehensive than </w:t>
      </w:r>
      <w:r w:rsidRPr="00606527">
        <w:t>databases specific to GDEs</w:t>
      </w:r>
      <w:r w:rsidR="009A0DC5">
        <w:t xml:space="preserve"> because</w:t>
      </w:r>
      <w:r w:rsidRPr="00606527">
        <w:t xml:space="preserve"> gaps currently exist in th</w:t>
      </w:r>
      <w:r w:rsidR="00AC7E31" w:rsidRPr="00606527">
        <w:t>ese</w:t>
      </w:r>
      <w:r w:rsidR="00AC7E31">
        <w:t xml:space="preserve"> </w:t>
      </w:r>
      <w:r w:rsidRPr="007E0B52">
        <w:t>data</w:t>
      </w:r>
      <w:r w:rsidR="00FA2C99">
        <w:t xml:space="preserve">bases, particularly for </w:t>
      </w:r>
      <w:r w:rsidR="00FA2C99">
        <w:lastRenderedPageBreak/>
        <w:t>smaller</w:t>
      </w:r>
      <w:r w:rsidRPr="007E0B52">
        <w:t xml:space="preserve"> ecosystems (&lt;90 </w:t>
      </w:r>
      <w:r w:rsidR="00FA2C99">
        <w:t>-</w:t>
      </w:r>
      <w:r w:rsidRPr="007E0B52">
        <w:t xml:space="preserve"> 250 m</w:t>
      </w:r>
      <w:r w:rsidRPr="007E0B52">
        <w:rPr>
          <w:vertAlign w:val="superscript"/>
        </w:rPr>
        <w:t>2</w:t>
      </w:r>
      <w:r w:rsidRPr="007E0B52">
        <w:t xml:space="preserve">). </w:t>
      </w:r>
      <w:r w:rsidR="00806EF3">
        <w:t xml:space="preserve">Examples of databases to complement searches of the GDE Atlas include </w:t>
      </w:r>
      <w:hyperlink r:id="rId56" w:history="1">
        <w:r w:rsidR="00FA2C99">
          <w:rPr>
            <w:rStyle w:val="Hyperlink"/>
          </w:rPr>
          <w:t>Geomorphic Wetland Mapping</w:t>
        </w:r>
      </w:hyperlink>
      <w:r w:rsidR="00FA2C99">
        <w:t xml:space="preserve"> i</w:t>
      </w:r>
      <w:r w:rsidR="00806EF3">
        <w:t>n W</w:t>
      </w:r>
      <w:r w:rsidR="00120A1A">
        <w:t xml:space="preserve">estern </w:t>
      </w:r>
      <w:r w:rsidR="00806EF3">
        <w:t>A</w:t>
      </w:r>
      <w:r w:rsidR="00120A1A">
        <w:t>ustralia</w:t>
      </w:r>
      <w:r w:rsidR="00806EF3">
        <w:t>, and the</w:t>
      </w:r>
      <w:r w:rsidR="00E41449">
        <w:t xml:space="preserve"> </w:t>
      </w:r>
      <w:hyperlink r:id="rId57" w:history="1">
        <w:r w:rsidR="007067A9">
          <w:rPr>
            <w:rStyle w:val="Hyperlink"/>
          </w:rPr>
          <w:t>Queensland Groundwater Database</w:t>
        </w:r>
      </w:hyperlink>
      <w:r w:rsidR="006F2860">
        <w:t>.</w:t>
      </w:r>
    </w:p>
    <w:p w14:paraId="31C8BBE6" w14:textId="77777777" w:rsidR="00D56113" w:rsidRDefault="006F2860" w:rsidP="007E0B52">
      <w:pPr>
        <w:pStyle w:val="BodyText"/>
      </w:pPr>
      <w:r>
        <w:t xml:space="preserve">For example, GDE mapping for </w:t>
      </w:r>
      <w:r w:rsidR="009A0DC5">
        <w:t xml:space="preserve">the </w:t>
      </w:r>
      <w:r>
        <w:t xml:space="preserve">Comet, Dawson and Mackenzie River sub-basins in Queensland was completed using the Queensland GDE Mapping and Classification Method (DSITI, 2016). </w:t>
      </w:r>
      <w:r w:rsidR="00D56113">
        <w:t>Digital maps were generated by integrating spatial data with expert local knowledge c</w:t>
      </w:r>
      <w:r w:rsidR="002D7184">
        <w:t xml:space="preserve">ollected over three workshops. </w:t>
      </w:r>
      <w:r w:rsidR="00D56113">
        <w:t xml:space="preserve">This </w:t>
      </w:r>
      <w:r w:rsidR="002D7184">
        <w:t xml:space="preserve">collation of knowledge </w:t>
      </w:r>
      <w:r w:rsidR="00D56113">
        <w:t>overcame one of the</w:t>
      </w:r>
      <w:r w:rsidR="002D7184">
        <w:t xml:space="preserve"> shortcomings of previous broad</w:t>
      </w:r>
      <w:r w:rsidR="009A0DC5">
        <w:t>-</w:t>
      </w:r>
      <w:r w:rsidR="00D56113">
        <w:t>scale mapping projects in not accounting for site</w:t>
      </w:r>
      <w:r w:rsidR="009A0DC5">
        <w:t>-</w:t>
      </w:r>
      <w:r w:rsidR="00D56113">
        <w:t xml:space="preserve"> or region</w:t>
      </w:r>
      <w:r w:rsidR="009A0DC5">
        <w:t>-</w:t>
      </w:r>
      <w:r w:rsidR="00D56113">
        <w:t>speci</w:t>
      </w:r>
      <w:r w:rsidR="002D7184">
        <w:t xml:space="preserve">fic information in mapping rule </w:t>
      </w:r>
      <w:r w:rsidR="00D56113">
        <w:t>sets.</w:t>
      </w:r>
    </w:p>
    <w:p w14:paraId="31C8BBE7" w14:textId="77777777" w:rsidR="007E0B52" w:rsidRDefault="007E0B52" w:rsidP="007E0B52">
      <w:pPr>
        <w:pStyle w:val="BodyText"/>
      </w:pPr>
      <w:r w:rsidRPr="007E0B52">
        <w:t>Known GDEs are GDEs identified from past field studies or desktop studies that have established a groundwater connection within a landscape</w:t>
      </w:r>
      <w:r w:rsidR="00754BE8">
        <w:t xml:space="preserve"> (see CASE STUDY 2)</w:t>
      </w:r>
      <w:r w:rsidRPr="007E0B52">
        <w:t>. Known GDEs in the pro</w:t>
      </w:r>
      <w:r w:rsidR="00806EF3">
        <w:t>ject</w:t>
      </w:r>
      <w:r w:rsidR="006F2860">
        <w:t xml:space="preserve"> impact</w:t>
      </w:r>
      <w:r w:rsidRPr="007E0B52">
        <w:t xml:space="preserve"> area can be identified using the GDE Atlas and literature review including journ</w:t>
      </w:r>
      <w:r w:rsidR="00BB1DD0">
        <w:t>al papers, reports and other EIA</w:t>
      </w:r>
      <w:r w:rsidRPr="007E0B52">
        <w:t>s.</w:t>
      </w:r>
    </w:p>
    <w:p w14:paraId="31C8BBE8" w14:textId="77777777" w:rsidR="00457A61" w:rsidRDefault="00457A61" w:rsidP="008C5F19">
      <w:pPr>
        <w:pStyle w:val="Heading3"/>
      </w:pPr>
      <w:bookmarkStart w:id="43" w:name="_Toc509996471"/>
      <w:r>
        <w:t>Remotely sensed data</w:t>
      </w:r>
      <w:bookmarkEnd w:id="43"/>
    </w:p>
    <w:p w14:paraId="31C8BBE9" w14:textId="77777777" w:rsidR="00457A61" w:rsidRDefault="00457A61" w:rsidP="00457A61">
      <w:pPr>
        <w:pStyle w:val="BodyText"/>
      </w:pPr>
      <w:r>
        <w:t>Increasingly, remotely sensed imagery is becoming easily accessible and free. MODIS imagery, for example, can be extracted via NASA (</w:t>
      </w:r>
      <w:hyperlink r:id="rId58" w:history="1">
        <w:r>
          <w:rPr>
            <w:rStyle w:val="Hyperlink"/>
          </w:rPr>
          <w:t>MODIS data</w:t>
        </w:r>
      </w:hyperlink>
      <w:r>
        <w:t>) and includes many variations of analysis-ready products that suit identification of GDEs such as vegetation indices at 250 – 500-m pixel resolution every 8 days. Landsat, which has coarser temporal resolution (16-day return) but finer spatial resolution (30-m pixels), is also free from USGS (</w:t>
      </w:r>
      <w:hyperlink r:id="rId59" w:history="1">
        <w:r>
          <w:rPr>
            <w:rStyle w:val="Hyperlink"/>
          </w:rPr>
          <w:t>Landsat data</w:t>
        </w:r>
      </w:hyperlink>
      <w:r>
        <w:t xml:space="preserve">) but requires additional corrections before it is fit-for-purpose. The Australian Government is overcoming this constraint with the </w:t>
      </w:r>
      <w:hyperlink r:id="rId60" w:history="1">
        <w:r>
          <w:rPr>
            <w:rStyle w:val="Hyperlink"/>
          </w:rPr>
          <w:t>Data Cube</w:t>
        </w:r>
      </w:hyperlink>
      <w:r>
        <w:t>, which is pursuing a user-friendly interface to download Landsat products that are user-ready, similar to that of MODIS.</w:t>
      </w:r>
    </w:p>
    <w:p w14:paraId="31C8BBEA" w14:textId="77777777" w:rsidR="00457A61" w:rsidRDefault="00457A61" w:rsidP="00457A61">
      <w:pPr>
        <w:pStyle w:val="BodyText"/>
      </w:pPr>
      <w:r>
        <w:t>Using remotely sensed data provides a way to assess the landscape across broad to fine scales, and is encouraged as a method to identify potential GDEs and their groundwater dependence before and after CSG and LCM operations. Landsat</w:t>
      </w:r>
      <w:r w:rsidR="00D51BD8">
        <w:t>,</w:t>
      </w:r>
      <w:r>
        <w:t xml:space="preserve"> for example</w:t>
      </w:r>
      <w:r w:rsidR="00D51BD8">
        <w:t>,</w:t>
      </w:r>
      <w:r>
        <w:t xml:space="preserve"> has a long archive of imagery which is important to understand conditions prior to development. As remote scientific analysis methods progress, remote sensing will become an economic and valuable tool to provide an indication of level of groundwater dependence (</w:t>
      </w:r>
      <w:r w:rsidR="0040235C">
        <w:t>s</w:t>
      </w:r>
      <w:r w:rsidR="003C0368">
        <w:t>ection 5.</w:t>
      </w:r>
      <w:r w:rsidR="0040235C">
        <w:t>3</w:t>
      </w:r>
      <w:r>
        <w:t>) in conjunction with other methods in a multiple lines</w:t>
      </w:r>
      <w:r w:rsidR="00D51BD8">
        <w:t>-</w:t>
      </w:r>
      <w:r>
        <w:t>of</w:t>
      </w:r>
      <w:r w:rsidR="00D51BD8">
        <w:t>-</w:t>
      </w:r>
      <w:r>
        <w:t>evidence approach (Doody et al., 2017). Suitable skills will be required to undertake and interpret analysis.</w:t>
      </w:r>
    </w:p>
    <w:p w14:paraId="31C8BBEB" w14:textId="77777777" w:rsidR="001B1EAF" w:rsidRDefault="001B1EAF" w:rsidP="001B1EAF">
      <w:pPr>
        <w:pStyle w:val="ListNumber"/>
        <w:numPr>
          <w:ilvl w:val="0"/>
          <w:numId w:val="0"/>
        </w:numPr>
        <w:ind w:left="397" w:hanging="397"/>
        <w:rPr>
          <w:b/>
        </w:rPr>
      </w:pPr>
    </w:p>
    <w:p w14:paraId="31C8BBEC" w14:textId="77777777" w:rsidR="001B1EAF" w:rsidRPr="001B1EAF" w:rsidRDefault="001B1EAF" w:rsidP="001B1EAF">
      <w:pPr>
        <w:pStyle w:val="ListNumber"/>
        <w:numPr>
          <w:ilvl w:val="0"/>
          <w:numId w:val="0"/>
        </w:numPr>
        <w:ind w:left="397" w:hanging="397"/>
        <w:rPr>
          <w:i/>
          <w:u w:val="single"/>
        </w:rPr>
      </w:pPr>
      <w:r w:rsidRPr="001B1EAF">
        <w:rPr>
          <w:b/>
          <w:noProof/>
        </w:rPr>
        <w:drawing>
          <wp:anchor distT="0" distB="0" distL="114300" distR="114300" simplePos="0" relativeHeight="251893248" behindDoc="0" locked="0" layoutInCell="1" allowOverlap="1" wp14:anchorId="31C8C2EA" wp14:editId="31C8C2EB">
            <wp:simplePos x="0" y="0"/>
            <wp:positionH relativeFrom="margin">
              <wp:posOffset>4013584</wp:posOffset>
            </wp:positionH>
            <wp:positionV relativeFrom="paragraph">
              <wp:posOffset>3897</wp:posOffset>
            </wp:positionV>
            <wp:extent cx="2525395" cy="2727325"/>
            <wp:effectExtent l="0" t="0" r="8255" b="0"/>
            <wp:wrapThrough wrapText="bothSides">
              <wp:wrapPolygon edited="0">
                <wp:start x="0" y="0"/>
                <wp:lineTo x="0" y="21424"/>
                <wp:lineTo x="21508" y="21424"/>
                <wp:lineTo x="21508" y="0"/>
                <wp:lineTo x="0" y="0"/>
              </wp:wrapPolygon>
            </wp:wrapThrough>
            <wp:docPr id="61440" name="Picture 61440" descr="Image result for GIS spatial data conceptu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IS spatial data conceptual model"/>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525395"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EAF">
        <w:rPr>
          <w:b/>
        </w:rPr>
        <w:t>CASE STUDY 2:</w:t>
      </w:r>
      <w:r>
        <w:t xml:space="preserve"> </w:t>
      </w:r>
      <w:r w:rsidRPr="001B1EAF">
        <w:rPr>
          <w:i/>
          <w:u w:val="single"/>
        </w:rPr>
        <w:t>Integrated mapping of GDEs across Victoria</w:t>
      </w:r>
    </w:p>
    <w:p w14:paraId="31C8BBED" w14:textId="77777777" w:rsidR="001B1EAF" w:rsidRPr="00E769D8" w:rsidRDefault="001B1EAF" w:rsidP="001B1EAF">
      <w:pPr>
        <w:rPr>
          <w:i/>
        </w:rPr>
      </w:pPr>
      <w:r w:rsidRPr="00DD404A">
        <w:rPr>
          <w:i/>
        </w:rPr>
        <w:t xml:space="preserve">In order to </w:t>
      </w:r>
      <w:r>
        <w:rPr>
          <w:i/>
        </w:rPr>
        <w:t xml:space="preserve">identify </w:t>
      </w:r>
      <w:r w:rsidRPr="00DD404A">
        <w:rPr>
          <w:i/>
        </w:rPr>
        <w:t>threatened terrestrial GDEs across Victoria</w:t>
      </w:r>
      <w:r w:rsidRPr="00E769D8">
        <w:rPr>
          <w:i/>
        </w:rPr>
        <w:t>, a landscape mapping approach was undertaken to identify potential GDEs (</w:t>
      </w:r>
      <w:proofErr w:type="spellStart"/>
      <w:r w:rsidRPr="00E769D8">
        <w:rPr>
          <w:i/>
        </w:rPr>
        <w:t>Dresel</w:t>
      </w:r>
      <w:proofErr w:type="spellEnd"/>
      <w:r w:rsidRPr="00E769D8">
        <w:rPr>
          <w:i/>
        </w:rPr>
        <w:t xml:space="preserve"> et al., 2010). </w:t>
      </w:r>
      <w:r>
        <w:rPr>
          <w:i/>
        </w:rPr>
        <w:t>Various</w:t>
      </w:r>
      <w:r w:rsidRPr="00E769D8">
        <w:rPr>
          <w:i/>
        </w:rPr>
        <w:t xml:space="preserve"> data sources</w:t>
      </w:r>
      <w:r w:rsidR="00907FF6">
        <w:rPr>
          <w:i/>
        </w:rPr>
        <w:t>,</w:t>
      </w:r>
      <w:r w:rsidRPr="00E769D8">
        <w:rPr>
          <w:i/>
        </w:rPr>
        <w:t xml:space="preserve"> including published field studies</w:t>
      </w:r>
      <w:r w:rsidR="00907FF6">
        <w:rPr>
          <w:i/>
        </w:rPr>
        <w:t>,</w:t>
      </w:r>
      <w:r w:rsidRPr="00E769D8">
        <w:rPr>
          <w:i/>
        </w:rPr>
        <w:t xml:space="preserve"> were used to determine landscape settings of known GDEs and to identify potential GDEs.</w:t>
      </w:r>
      <w:r w:rsidRPr="00824758">
        <w:rPr>
          <w:noProof/>
        </w:rPr>
        <w:t xml:space="preserve"> </w:t>
      </w:r>
    </w:p>
    <w:p w14:paraId="31C8BBEE" w14:textId="77777777" w:rsidR="001B1EAF" w:rsidRPr="00E769D8" w:rsidRDefault="001B1EAF" w:rsidP="001B1EAF">
      <w:pPr>
        <w:rPr>
          <w:i/>
        </w:rPr>
      </w:pPr>
      <w:r w:rsidRPr="00E769D8">
        <w:rPr>
          <w:i/>
        </w:rPr>
        <w:t xml:space="preserve">Data sources included climatic zones to segregate a broad region; state ecological vegetation classes; remote sensing Landsat greenness; MODIS photosynthetic activity; land use; groundwater depth; groundwater salinity; </w:t>
      </w:r>
      <w:r>
        <w:rPr>
          <w:i/>
        </w:rPr>
        <w:t xml:space="preserve">and </w:t>
      </w:r>
      <w:r w:rsidRPr="00E769D8">
        <w:rPr>
          <w:i/>
        </w:rPr>
        <w:t>surface geology.</w:t>
      </w:r>
    </w:p>
    <w:p w14:paraId="31C8BBEF" w14:textId="77777777" w:rsidR="001B1EAF" w:rsidRDefault="001B1EAF" w:rsidP="001B1EAF">
      <w:pPr>
        <w:pStyle w:val="BodyText"/>
        <w:rPr>
          <w:i/>
        </w:rPr>
      </w:pPr>
      <w:r w:rsidRPr="00E769D8">
        <w:rPr>
          <w:i/>
        </w:rPr>
        <w:t>Data overla</w:t>
      </w:r>
      <w:r>
        <w:rPr>
          <w:i/>
        </w:rPr>
        <w:t>id</w:t>
      </w:r>
      <w:r w:rsidRPr="00E769D8">
        <w:rPr>
          <w:i/>
        </w:rPr>
        <w:t xml:space="preserve"> in a GIS provided an approach to identify potential GDEs. For example, vegetation where the ecosystem maintained a constant </w:t>
      </w:r>
      <w:r w:rsidRPr="00167FE1">
        <w:rPr>
          <w:i/>
        </w:rPr>
        <w:t xml:space="preserve">greenness over a dry period and was associated with a wetland ecosystem </w:t>
      </w:r>
      <w:r>
        <w:rPr>
          <w:i/>
        </w:rPr>
        <w:t>impli</w:t>
      </w:r>
      <w:r w:rsidRPr="004840CB">
        <w:rPr>
          <w:i/>
        </w:rPr>
        <w:t>es</w:t>
      </w:r>
      <w:r w:rsidRPr="00167FE1">
        <w:rPr>
          <w:i/>
        </w:rPr>
        <w:t xml:space="preserve"> a high probability of GDE presence.</w:t>
      </w:r>
    </w:p>
    <w:p w14:paraId="31C8BBF0" w14:textId="77777777" w:rsidR="00F3119C" w:rsidRDefault="00F3119C">
      <w:pPr>
        <w:spacing w:after="0"/>
        <w:rPr>
          <w:i/>
        </w:rPr>
      </w:pPr>
      <w:r>
        <w:rPr>
          <w:i/>
        </w:rPr>
        <w:br w:type="page"/>
      </w:r>
    </w:p>
    <w:p w14:paraId="31C8BBF1" w14:textId="77777777" w:rsidR="00907FF6" w:rsidRDefault="00413520" w:rsidP="00907FF6">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lastRenderedPageBreak/>
        <w:t xml:space="preserve">RECOMMENDATION: </w:t>
      </w:r>
      <w:r w:rsidR="00907FF6">
        <w:t xml:space="preserve">Use the GDE Atlas, national-, state- and local-scale spatial data, remote sensing, expert knowledge and scientific studies to create </w:t>
      </w:r>
      <w:r w:rsidR="00457A61">
        <w:t xml:space="preserve">and update </w:t>
      </w:r>
      <w:r w:rsidR="00907FF6">
        <w:t>conceptual models in an integrated desktop study guided by GDE rules of likely groundwater dependence</w:t>
      </w:r>
      <w:r w:rsidR="00457A61">
        <w:t>. This will</w:t>
      </w:r>
      <w:r w:rsidR="00907FF6">
        <w:t xml:space="preserve"> indicate potential GDE presence in and around the project impact area and capture the relationships between potential GDEs and groundwater.</w:t>
      </w:r>
    </w:p>
    <w:p w14:paraId="31C8BBF2" w14:textId="77777777" w:rsidR="00603BB8" w:rsidRPr="00167FE1" w:rsidRDefault="00603BB8" w:rsidP="004B7CBD">
      <w:pPr>
        <w:pStyle w:val="BodyText"/>
      </w:pPr>
    </w:p>
    <w:p w14:paraId="31C8BBF3" w14:textId="77777777" w:rsidR="000F4491" w:rsidRDefault="004C274E" w:rsidP="00695D3C">
      <w:pPr>
        <w:pStyle w:val="BodyText"/>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D1F6FF" w:themeFill="accent2" w:themeFillTint="1A"/>
      </w:pPr>
      <w:r>
        <w:rPr>
          <w:b/>
        </w:rPr>
        <w:t>OUTCOME:</w:t>
      </w:r>
      <w:r w:rsidR="00597496">
        <w:t xml:space="preserve"> </w:t>
      </w:r>
      <w:r w:rsidR="000B6643">
        <w:t>T</w:t>
      </w:r>
      <w:r w:rsidR="004B7CBD" w:rsidRPr="004840CB">
        <w:t xml:space="preserve">he proponent will have a list and map of </w:t>
      </w:r>
      <w:r w:rsidR="00026C57" w:rsidRPr="004840CB">
        <w:t xml:space="preserve">potential GDEs that may </w:t>
      </w:r>
      <w:r w:rsidR="00026C57" w:rsidRPr="00695D3C">
        <w:t>include alluvial aquifers, wetlands, rivers, springs</w:t>
      </w:r>
      <w:r w:rsidR="00026C57">
        <w:t xml:space="preserve"> and</w:t>
      </w:r>
      <w:r w:rsidR="00026C57" w:rsidRPr="00695D3C">
        <w:t xml:space="preserve"> vegetation communities</w:t>
      </w:r>
      <w:r w:rsidR="00026C57">
        <w:t>, together with</w:t>
      </w:r>
      <w:r w:rsidR="00026C57" w:rsidRPr="00695D3C">
        <w:t xml:space="preserve"> an indication of the likelihood of groundwater dependence for each potential GDE in the projec</w:t>
      </w:r>
      <w:r w:rsidR="0040235C">
        <w:t>t</w:t>
      </w:r>
      <w:r w:rsidR="00D80B78">
        <w:t xml:space="preserve"> impact</w:t>
      </w:r>
      <w:r w:rsidR="004B7CBD" w:rsidRPr="00695D3C">
        <w:t xml:space="preserve"> area.</w:t>
      </w:r>
    </w:p>
    <w:p w14:paraId="31C8BBF4" w14:textId="77777777" w:rsidR="000F4491" w:rsidRPr="00761269" w:rsidRDefault="00D51BD8" w:rsidP="00834D4F">
      <w:pPr>
        <w:pStyle w:val="Heading2"/>
        <w:numPr>
          <w:ilvl w:val="0"/>
          <w:numId w:val="0"/>
        </w:numPr>
        <w:ind w:left="1134" w:hanging="1134"/>
      </w:pPr>
      <w:bookmarkStart w:id="44" w:name="_Ref507708166"/>
      <w:bookmarkStart w:id="45" w:name="_Toc509996472"/>
      <w:r>
        <w:t xml:space="preserve">5.3 </w:t>
      </w:r>
      <w:r w:rsidR="000F4491" w:rsidRPr="00761269">
        <w:t xml:space="preserve">Characterising </w:t>
      </w:r>
      <w:r>
        <w:t>the level of</w:t>
      </w:r>
      <w:r w:rsidR="000F4491" w:rsidRPr="00761269">
        <w:t xml:space="preserve"> groundwater</w:t>
      </w:r>
      <w:bookmarkEnd w:id="44"/>
      <w:r>
        <w:t>-dependence</w:t>
      </w:r>
      <w:bookmarkEnd w:id="45"/>
      <w:r w:rsidR="000F4491" w:rsidRPr="00761269">
        <w:t xml:space="preserve"> </w:t>
      </w:r>
    </w:p>
    <w:p w14:paraId="31C8BBF5" w14:textId="77777777" w:rsidR="00301D7B" w:rsidRDefault="00E15108" w:rsidP="00301D7B">
      <w:pPr>
        <w:pStyle w:val="BodyText"/>
        <w:rPr>
          <w:color w:val="auto"/>
        </w:rPr>
      </w:pPr>
      <w:r>
        <w:rPr>
          <w:noProof/>
        </w:rPr>
        <w:drawing>
          <wp:anchor distT="0" distB="0" distL="114300" distR="114300" simplePos="0" relativeHeight="251820544" behindDoc="0" locked="0" layoutInCell="1" allowOverlap="1" wp14:anchorId="31C8C2EC" wp14:editId="31C8C2ED">
            <wp:simplePos x="0" y="0"/>
            <wp:positionH relativeFrom="margin">
              <wp:posOffset>4097655</wp:posOffset>
            </wp:positionH>
            <wp:positionV relativeFrom="paragraph">
              <wp:posOffset>505460</wp:posOffset>
            </wp:positionV>
            <wp:extent cx="2550160" cy="1682750"/>
            <wp:effectExtent l="0" t="0" r="2540" b="0"/>
            <wp:wrapThrough wrapText="bothSides">
              <wp:wrapPolygon edited="0">
                <wp:start x="0" y="0"/>
                <wp:lineTo x="0" y="21274"/>
                <wp:lineTo x="21460" y="21274"/>
                <wp:lineTo x="21460" y="0"/>
                <wp:lineTo x="0" y="0"/>
              </wp:wrapPolygon>
            </wp:wrapThrough>
            <wp:docPr id="49" name="Picture_x0020_1" descr="DSC_8889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_x0020_1" descr="DSC_8889v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550160" cy="168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7CBD">
        <w:rPr>
          <w:color w:val="auto"/>
        </w:rPr>
        <w:t>Once potential GDEs have been identified, proponents need to und</w:t>
      </w:r>
      <w:r w:rsidR="00D80B78">
        <w:rPr>
          <w:color w:val="auto"/>
        </w:rPr>
        <w:t xml:space="preserve">erstand how </w:t>
      </w:r>
      <w:r w:rsidR="00D51BD8">
        <w:rPr>
          <w:color w:val="auto"/>
        </w:rPr>
        <w:t xml:space="preserve">each GDE </w:t>
      </w:r>
      <w:r w:rsidR="00D80B78">
        <w:rPr>
          <w:color w:val="auto"/>
        </w:rPr>
        <w:t>interact</w:t>
      </w:r>
      <w:r w:rsidR="00D51BD8">
        <w:rPr>
          <w:color w:val="auto"/>
        </w:rPr>
        <w:t>s</w:t>
      </w:r>
      <w:r w:rsidR="00D80B78">
        <w:rPr>
          <w:color w:val="auto"/>
        </w:rPr>
        <w:t xml:space="preserve"> with </w:t>
      </w:r>
      <w:r w:rsidR="004B7CBD">
        <w:rPr>
          <w:color w:val="auto"/>
        </w:rPr>
        <w:t>aquifer</w:t>
      </w:r>
      <w:r w:rsidR="00D80B78">
        <w:rPr>
          <w:color w:val="auto"/>
        </w:rPr>
        <w:t xml:space="preserve">(s) in the project area (see arrow 3 in </w:t>
      </w:r>
      <w:r w:rsidR="00D80B78">
        <w:rPr>
          <w:color w:val="auto"/>
        </w:rPr>
        <w:fldChar w:fldCharType="begin"/>
      </w:r>
      <w:r w:rsidR="00D80B78">
        <w:rPr>
          <w:color w:val="auto"/>
        </w:rPr>
        <w:instrText xml:space="preserve"> REF _Ref507091362 \h </w:instrText>
      </w:r>
      <w:r w:rsidR="00D80B78">
        <w:rPr>
          <w:color w:val="auto"/>
        </w:rPr>
      </w:r>
      <w:r w:rsidR="00D80B78">
        <w:rPr>
          <w:color w:val="auto"/>
        </w:rPr>
        <w:fldChar w:fldCharType="separate"/>
      </w:r>
      <w:r w:rsidR="00E96B43" w:rsidRPr="00000D10">
        <w:rPr>
          <w:color w:val="000000" w:themeColor="text1"/>
        </w:rPr>
        <w:t xml:space="preserve">Figure </w:t>
      </w:r>
      <w:r w:rsidR="00E96B43">
        <w:rPr>
          <w:noProof/>
          <w:color w:val="000000" w:themeColor="text1"/>
        </w:rPr>
        <w:t>5</w:t>
      </w:r>
      <w:r w:rsidR="00D80B78">
        <w:rPr>
          <w:color w:val="auto"/>
        </w:rPr>
        <w:fldChar w:fldCharType="end"/>
      </w:r>
      <w:r w:rsidR="00D80B78">
        <w:rPr>
          <w:color w:val="auto"/>
        </w:rPr>
        <w:t>)</w:t>
      </w:r>
      <w:r w:rsidR="004B7CBD">
        <w:rPr>
          <w:color w:val="auto"/>
        </w:rPr>
        <w:t xml:space="preserve">. </w:t>
      </w:r>
      <w:r w:rsidR="00D80B78">
        <w:rPr>
          <w:color w:val="auto"/>
        </w:rPr>
        <w:t>C</w:t>
      </w:r>
      <w:r w:rsidR="004B7CBD">
        <w:rPr>
          <w:color w:val="auto"/>
        </w:rPr>
        <w:t xml:space="preserve">onceptual models </w:t>
      </w:r>
      <w:r w:rsidR="004B7CBD" w:rsidRPr="00D80B78">
        <w:rPr>
          <w:color w:val="auto"/>
        </w:rPr>
        <w:t>(</w:t>
      </w:r>
      <w:r w:rsidR="00D51BD8">
        <w:rPr>
          <w:color w:val="auto"/>
        </w:rPr>
        <w:t>see s</w:t>
      </w:r>
      <w:r w:rsidR="004B7CBD" w:rsidRPr="00D80B78">
        <w:rPr>
          <w:color w:val="auto"/>
        </w:rPr>
        <w:t xml:space="preserve">ection </w:t>
      </w:r>
      <w:r w:rsidR="00EB2763">
        <w:rPr>
          <w:color w:val="auto"/>
        </w:rPr>
        <w:t>5.</w:t>
      </w:r>
      <w:r w:rsidR="00D51BD8">
        <w:rPr>
          <w:color w:val="auto"/>
        </w:rPr>
        <w:t>3.1</w:t>
      </w:r>
      <w:r w:rsidR="00EB2763">
        <w:rPr>
          <w:color w:val="auto"/>
        </w:rPr>
        <w:t>)</w:t>
      </w:r>
      <w:r w:rsidR="00D80B78">
        <w:rPr>
          <w:color w:val="auto"/>
        </w:rPr>
        <w:t xml:space="preserve"> will improve this understanding</w:t>
      </w:r>
      <w:r w:rsidR="00D51BD8">
        <w:rPr>
          <w:color w:val="auto"/>
        </w:rPr>
        <w:t xml:space="preserve"> by illustrating relationships of GDEs and groundwater, along with likely causal pathways of potential impacts (section 3</w:t>
      </w:r>
      <w:r w:rsidR="0011283C">
        <w:rPr>
          <w:color w:val="auto"/>
        </w:rPr>
        <w:t>.1</w:t>
      </w:r>
      <w:r w:rsidR="00D51BD8">
        <w:rPr>
          <w:color w:val="auto"/>
        </w:rPr>
        <w:t>). H</w:t>
      </w:r>
      <w:r w:rsidR="00D80B78">
        <w:rPr>
          <w:color w:val="auto"/>
        </w:rPr>
        <w:t xml:space="preserve">owever, </w:t>
      </w:r>
      <w:r w:rsidR="00D51BD8">
        <w:rPr>
          <w:color w:val="auto"/>
        </w:rPr>
        <w:t xml:space="preserve">to assess the level of groundwater-dependence, </w:t>
      </w:r>
      <w:r w:rsidR="00D80B78">
        <w:rPr>
          <w:color w:val="auto"/>
        </w:rPr>
        <w:t>m</w:t>
      </w:r>
      <w:r w:rsidR="004B7CBD">
        <w:rPr>
          <w:color w:val="auto"/>
        </w:rPr>
        <w:t>ore information is needed on</w:t>
      </w:r>
      <w:r w:rsidR="000F4491" w:rsidRPr="0060529A">
        <w:rPr>
          <w:color w:val="auto"/>
        </w:rPr>
        <w:t xml:space="preserve"> the </w:t>
      </w:r>
      <w:r w:rsidR="004B7CBD">
        <w:rPr>
          <w:color w:val="auto"/>
        </w:rPr>
        <w:t>specifics of the GDE</w:t>
      </w:r>
      <w:r w:rsidR="00EB2763">
        <w:rPr>
          <w:color w:val="auto"/>
        </w:rPr>
        <w:t xml:space="preserve"> - </w:t>
      </w:r>
      <w:r w:rsidR="004B7CBD">
        <w:rPr>
          <w:color w:val="auto"/>
        </w:rPr>
        <w:t>aquifer interaction</w:t>
      </w:r>
      <w:r w:rsidR="00543D9C">
        <w:rPr>
          <w:color w:val="auto"/>
        </w:rPr>
        <w:t>, particularly the ecological water requirements of each GDE (section 5.3.2) and the likelihood of groundwater-dependence (section 5.3.3)</w:t>
      </w:r>
      <w:r w:rsidR="004B7CBD">
        <w:rPr>
          <w:color w:val="auto"/>
        </w:rPr>
        <w:t>. Details are deemed relevant if they are aspect</w:t>
      </w:r>
      <w:r w:rsidR="00543D9C">
        <w:rPr>
          <w:color w:val="auto"/>
        </w:rPr>
        <w:t>s</w:t>
      </w:r>
      <w:r w:rsidR="004B7CBD">
        <w:rPr>
          <w:color w:val="auto"/>
        </w:rPr>
        <w:t xml:space="preserve"> of groundwater </w:t>
      </w:r>
      <w:r w:rsidR="00543D9C">
        <w:rPr>
          <w:color w:val="auto"/>
        </w:rPr>
        <w:t xml:space="preserve">regime or water </w:t>
      </w:r>
      <w:r w:rsidR="00D80B78">
        <w:rPr>
          <w:color w:val="auto"/>
        </w:rPr>
        <w:t xml:space="preserve">quality </w:t>
      </w:r>
      <w:r w:rsidR="004B7CBD">
        <w:rPr>
          <w:color w:val="auto"/>
        </w:rPr>
        <w:t xml:space="preserve">that are likely to affect the </w:t>
      </w:r>
      <w:r w:rsidR="000F4491" w:rsidRPr="0060529A">
        <w:rPr>
          <w:color w:val="auto"/>
        </w:rPr>
        <w:t>GDE</w:t>
      </w:r>
      <w:r w:rsidR="004B7CBD">
        <w:rPr>
          <w:color w:val="auto"/>
        </w:rPr>
        <w:t xml:space="preserve"> if changed</w:t>
      </w:r>
      <w:r w:rsidR="000F4491" w:rsidRPr="0060529A">
        <w:rPr>
          <w:color w:val="auto"/>
        </w:rPr>
        <w:t xml:space="preserve"> (e.g. amount, location, timing, frequency, </w:t>
      </w:r>
      <w:proofErr w:type="spellStart"/>
      <w:r w:rsidR="000F4491" w:rsidRPr="0060529A">
        <w:rPr>
          <w:color w:val="auto"/>
        </w:rPr>
        <w:t>episodicity</w:t>
      </w:r>
      <w:proofErr w:type="spellEnd"/>
      <w:r w:rsidR="000F4491" w:rsidRPr="0060529A">
        <w:rPr>
          <w:color w:val="auto"/>
        </w:rPr>
        <w:t xml:space="preserve"> of groundwater use)</w:t>
      </w:r>
      <w:r w:rsidR="000F4491" w:rsidRPr="00167FE1">
        <w:rPr>
          <w:color w:val="auto"/>
        </w:rPr>
        <w:t xml:space="preserve">. </w:t>
      </w:r>
    </w:p>
    <w:p w14:paraId="31C8BBF7" w14:textId="77777777" w:rsidR="00907FF6" w:rsidRPr="00301D7B" w:rsidRDefault="00301D7B" w:rsidP="00F3119C">
      <w:pPr>
        <w:pStyle w:val="Heading3"/>
      </w:pPr>
      <w:bookmarkStart w:id="46" w:name="_Toc509996473"/>
      <w:r>
        <w:t>C</w:t>
      </w:r>
      <w:r w:rsidR="00907FF6" w:rsidRPr="003262B5">
        <w:t>onceptualisation</w:t>
      </w:r>
      <w:bookmarkEnd w:id="46"/>
    </w:p>
    <w:p w14:paraId="31C8BBF8" w14:textId="77777777" w:rsidR="00907FF6" w:rsidRDefault="00907FF6" w:rsidP="00907FF6">
      <w:pPr>
        <w:pStyle w:val="BodyText"/>
      </w:pPr>
      <w:r>
        <w:t>Co</w:t>
      </w:r>
      <w:r w:rsidRPr="003262B5">
        <w:t>nceptual models</w:t>
      </w:r>
      <w:r>
        <w:t>,</w:t>
      </w:r>
      <w:r w:rsidRPr="003262B5">
        <w:t xml:space="preserve"> often</w:t>
      </w:r>
      <w:r>
        <w:t xml:space="preserve"> presented</w:t>
      </w:r>
      <w:r w:rsidRPr="003262B5">
        <w:t xml:space="preserve"> as stylised </w:t>
      </w:r>
      <w:r>
        <w:t>diagram</w:t>
      </w:r>
      <w:r w:rsidRPr="003262B5">
        <w:t>s</w:t>
      </w:r>
      <w:r>
        <w:t>, help</w:t>
      </w:r>
      <w:r w:rsidRPr="003262B5">
        <w:t xml:space="preserve"> </w:t>
      </w:r>
      <w:r>
        <w:t>illustrate</w:t>
      </w:r>
      <w:r w:rsidRPr="003262B5">
        <w:t xml:space="preserve"> the relationship</w:t>
      </w:r>
      <w:r>
        <w:t>s</w:t>
      </w:r>
      <w:r w:rsidRPr="003262B5">
        <w:t xml:space="preserve"> and interactions of GDEs and groundwater</w:t>
      </w:r>
      <w:r>
        <w:t>, and are an important step in identifying GDEs and understanding their groundwater dependence. It is critical that t</w:t>
      </w:r>
      <w:r w:rsidRPr="003262B5">
        <w:t>hese models</w:t>
      </w:r>
      <w:r>
        <w:t xml:space="preserve"> show how CSG or LCM activity is linked to GDEs via the aquifer that connects them. Conceptual models </w:t>
      </w:r>
      <w:r w:rsidRPr="003262B5">
        <w:t xml:space="preserve">provide a way </w:t>
      </w:r>
      <w:r>
        <w:t>to</w:t>
      </w:r>
      <w:r w:rsidRPr="003262B5">
        <w:t xml:space="preserve"> visualis</w:t>
      </w:r>
      <w:r>
        <w:t>e</w:t>
      </w:r>
      <w:r w:rsidRPr="003262B5">
        <w:t xml:space="preserve"> complex processes </w:t>
      </w:r>
      <w:r>
        <w:t xml:space="preserve">simply, </w:t>
      </w:r>
      <w:r w:rsidRPr="003262B5">
        <w:t>and</w:t>
      </w:r>
      <w:r>
        <w:t xml:space="preserve"> are useful in elucidating and illustrating likely impacts and their causal pathways (section 3</w:t>
      </w:r>
      <w:r w:rsidR="0011283C">
        <w:t>.1</w:t>
      </w:r>
      <w:r>
        <w:t xml:space="preserve">). This understanding of the type, mechanism and pathway of an impact can then be used to guide the development of an appropriate monitoring program (section 6). </w:t>
      </w:r>
    </w:p>
    <w:p w14:paraId="31C8BBF9" w14:textId="77777777" w:rsidR="00907FF6" w:rsidRDefault="00907FF6" w:rsidP="00907FF6">
      <w:pPr>
        <w:pStyle w:val="BodyText"/>
      </w:pPr>
      <w:r>
        <w:t>Conceptual models</w:t>
      </w:r>
      <w:r w:rsidRPr="003262B5">
        <w:t xml:space="preserve"> are a suggested tool in the GDE Toolbox (T2</w:t>
      </w:r>
      <w:r>
        <w:t xml:space="preserve"> – conceptual modelling; </w:t>
      </w:r>
      <w:r>
        <w:fldChar w:fldCharType="begin"/>
      </w:r>
      <w:r>
        <w:instrText xml:space="preserve"> REF _Ref507707870 \h </w:instrText>
      </w:r>
      <w:r>
        <w:fldChar w:fldCharType="separate"/>
      </w:r>
      <w:r w:rsidR="00E96B43">
        <w:t xml:space="preserve">App Table </w:t>
      </w:r>
      <w:r w:rsidR="00E96B43">
        <w:rPr>
          <w:noProof/>
        </w:rPr>
        <w:t>2</w:t>
      </w:r>
      <w:r>
        <w:fldChar w:fldCharType="end"/>
      </w:r>
      <w:r w:rsidRPr="003262B5">
        <w:t>)</w:t>
      </w:r>
      <w:r>
        <w:t>, and Queensland’s W</w:t>
      </w:r>
      <w:r w:rsidRPr="003262B5">
        <w:t>etland Info</w:t>
      </w:r>
      <w:r>
        <w:t xml:space="preserve"> site</w:t>
      </w:r>
      <w:r w:rsidRPr="003262B5">
        <w:t xml:space="preserve"> provide</w:t>
      </w:r>
      <w:r>
        <w:t xml:space="preserve">s </w:t>
      </w:r>
      <w:r w:rsidRPr="003262B5">
        <w:t>a step by step approach to</w:t>
      </w:r>
      <w:r>
        <w:t xml:space="preserve"> their</w:t>
      </w:r>
      <w:r w:rsidRPr="003262B5">
        <w:t xml:space="preserve"> develop</w:t>
      </w:r>
      <w:r>
        <w:t>ment</w:t>
      </w:r>
      <w:r w:rsidRPr="003262B5">
        <w:t xml:space="preserve"> </w:t>
      </w:r>
      <w:r>
        <w:t>(</w:t>
      </w:r>
      <w:proofErr w:type="spellStart"/>
      <w:r w:rsidR="00085933">
        <w:fldChar w:fldCharType="begin"/>
      </w:r>
      <w:r w:rsidR="00085933">
        <w:instrText xml:space="preserve"> HYPERLINK "https://wetlandinfo.ehp.qld.gov.au/wetlands/resources/p</w:instrText>
      </w:r>
      <w:r w:rsidR="00085933">
        <w:instrText xml:space="preserve">ictorial-conceptual-models.html" </w:instrText>
      </w:r>
      <w:r w:rsidR="00085933">
        <w:fldChar w:fldCharType="separate"/>
      </w:r>
      <w:r>
        <w:rPr>
          <w:rStyle w:val="Hyperlink"/>
        </w:rPr>
        <w:t>WetlandInfo</w:t>
      </w:r>
      <w:proofErr w:type="spellEnd"/>
      <w:r w:rsidR="00085933">
        <w:rPr>
          <w:rStyle w:val="Hyperlink"/>
        </w:rPr>
        <w:fldChar w:fldCharType="end"/>
      </w:r>
      <w:r w:rsidRPr="003262B5">
        <w:t xml:space="preserve">). </w:t>
      </w:r>
      <w:r>
        <w:t>Serov et al. (2012) present conceptual models to clarify groundwater and its relationship to GDE type.</w:t>
      </w:r>
    </w:p>
    <w:p w14:paraId="31C8BBFA" w14:textId="77777777" w:rsidR="00543D9C" w:rsidRDefault="0011283C" w:rsidP="00F3119C">
      <w:pPr>
        <w:pStyle w:val="Heading3"/>
      </w:pPr>
      <w:bookmarkStart w:id="47" w:name="_Toc509996474"/>
      <w:r>
        <w:t>Ecological</w:t>
      </w:r>
      <w:r w:rsidR="002A78AA">
        <w:t xml:space="preserve"> water requirements of GDEs</w:t>
      </w:r>
      <w:bookmarkEnd w:id="47"/>
    </w:p>
    <w:p w14:paraId="31C8BBFB" w14:textId="77777777" w:rsidR="004B7CBD" w:rsidRDefault="004B7CBD" w:rsidP="004B7CBD">
      <w:pPr>
        <w:pStyle w:val="BodyText"/>
        <w:rPr>
          <w:color w:val="auto"/>
        </w:rPr>
      </w:pPr>
      <w:r w:rsidRPr="000F4491">
        <w:rPr>
          <w:color w:val="auto"/>
        </w:rPr>
        <w:t xml:space="preserve">Ecological water requirements of </w:t>
      </w:r>
      <w:r>
        <w:rPr>
          <w:color w:val="auto"/>
        </w:rPr>
        <w:t>GDEs</w:t>
      </w:r>
      <w:r w:rsidRPr="000F4491">
        <w:rPr>
          <w:color w:val="auto"/>
        </w:rPr>
        <w:t xml:space="preserve"> </w:t>
      </w:r>
      <w:r>
        <w:rPr>
          <w:color w:val="auto"/>
        </w:rPr>
        <w:t>are</w:t>
      </w:r>
      <w:r w:rsidRPr="000F4491">
        <w:rPr>
          <w:color w:val="auto"/>
        </w:rPr>
        <w:t xml:space="preserve"> th</w:t>
      </w:r>
      <w:r>
        <w:rPr>
          <w:color w:val="auto"/>
        </w:rPr>
        <w:t>os</w:t>
      </w:r>
      <w:r w:rsidRPr="000F4491">
        <w:rPr>
          <w:color w:val="auto"/>
        </w:rPr>
        <w:t xml:space="preserve">e </w:t>
      </w:r>
      <w:r>
        <w:rPr>
          <w:color w:val="auto"/>
        </w:rPr>
        <w:t>aspects</w:t>
      </w:r>
      <w:r w:rsidRPr="000F4491">
        <w:rPr>
          <w:color w:val="auto"/>
        </w:rPr>
        <w:t xml:space="preserve"> of the natural</w:t>
      </w:r>
      <w:r>
        <w:rPr>
          <w:color w:val="auto"/>
        </w:rPr>
        <w:t xml:space="preserve"> groundwater</w:t>
      </w:r>
      <w:r w:rsidRPr="000F4491">
        <w:rPr>
          <w:color w:val="auto"/>
        </w:rPr>
        <w:t xml:space="preserve"> regime that support the persistence of critical ecosystem characteristics (</w:t>
      </w:r>
      <w:r>
        <w:rPr>
          <w:color w:val="auto"/>
        </w:rPr>
        <w:t xml:space="preserve">biodiversity, </w:t>
      </w:r>
      <w:r w:rsidRPr="000F4491">
        <w:rPr>
          <w:color w:val="auto"/>
        </w:rPr>
        <w:t>ecological structure) and processes (ecosystem function; Richardson et al.</w:t>
      </w:r>
      <w:r>
        <w:rPr>
          <w:color w:val="auto"/>
        </w:rPr>
        <w:t>,</w:t>
      </w:r>
      <w:r w:rsidRPr="000F4491">
        <w:rPr>
          <w:color w:val="auto"/>
        </w:rPr>
        <w:t xml:space="preserve"> 2011). This section </w:t>
      </w:r>
      <w:r>
        <w:rPr>
          <w:color w:val="auto"/>
        </w:rPr>
        <w:t xml:space="preserve">is </w:t>
      </w:r>
      <w:r w:rsidRPr="000F4491">
        <w:rPr>
          <w:color w:val="auto"/>
        </w:rPr>
        <w:t xml:space="preserve">specifically </w:t>
      </w:r>
      <w:r>
        <w:rPr>
          <w:color w:val="auto"/>
        </w:rPr>
        <w:t>focused on</w:t>
      </w:r>
      <w:r w:rsidRPr="000F4491">
        <w:rPr>
          <w:color w:val="auto"/>
        </w:rPr>
        <w:t xml:space="preserve"> the features of groundwater (flow, depth to </w:t>
      </w:r>
      <w:proofErr w:type="spellStart"/>
      <w:r w:rsidR="00AB6B3E">
        <w:rPr>
          <w:color w:val="auto"/>
        </w:rPr>
        <w:t>watertable</w:t>
      </w:r>
      <w:proofErr w:type="spellEnd"/>
      <w:r w:rsidRPr="000F4491">
        <w:rPr>
          <w:color w:val="auto"/>
        </w:rPr>
        <w:t xml:space="preserve">, pressure and quality) that support ecosystems and need to be considered spatially and temporally. It is assumed </w:t>
      </w:r>
      <w:r w:rsidRPr="00C4557D">
        <w:rPr>
          <w:color w:val="auto"/>
        </w:rPr>
        <w:t xml:space="preserve">that other hydrological requirements of GDEs (e.g. surface water) </w:t>
      </w:r>
      <w:r w:rsidR="00BB1DD0">
        <w:rPr>
          <w:color w:val="auto"/>
        </w:rPr>
        <w:t>covered elsewhere in the EIA</w:t>
      </w:r>
      <w:r w:rsidR="002A78AA">
        <w:rPr>
          <w:color w:val="auto"/>
        </w:rPr>
        <w:t xml:space="preserve"> </w:t>
      </w:r>
      <w:r w:rsidRPr="00C4557D">
        <w:rPr>
          <w:color w:val="auto"/>
        </w:rPr>
        <w:t xml:space="preserve">are </w:t>
      </w:r>
      <w:r w:rsidR="002A78AA">
        <w:rPr>
          <w:color w:val="auto"/>
        </w:rPr>
        <w:t xml:space="preserve">also </w:t>
      </w:r>
      <w:r w:rsidRPr="00C4557D">
        <w:rPr>
          <w:color w:val="auto"/>
        </w:rPr>
        <w:t>consider</w:t>
      </w:r>
      <w:r w:rsidRPr="000F4491">
        <w:rPr>
          <w:color w:val="auto"/>
        </w:rPr>
        <w:t xml:space="preserve">ed, but </w:t>
      </w:r>
      <w:r>
        <w:rPr>
          <w:color w:val="auto"/>
        </w:rPr>
        <w:t xml:space="preserve">these </w:t>
      </w:r>
      <w:r w:rsidRPr="000F4491">
        <w:rPr>
          <w:color w:val="auto"/>
        </w:rPr>
        <w:t xml:space="preserve">are not </w:t>
      </w:r>
      <w:r w:rsidR="002A78AA">
        <w:rPr>
          <w:color w:val="auto"/>
        </w:rPr>
        <w:t>discuss</w:t>
      </w:r>
      <w:r w:rsidRPr="000F4491">
        <w:rPr>
          <w:color w:val="auto"/>
        </w:rPr>
        <w:t xml:space="preserve">ed here. </w:t>
      </w:r>
    </w:p>
    <w:p w14:paraId="31C8BBFC" w14:textId="77777777" w:rsidR="00C4557D" w:rsidRDefault="000F4491" w:rsidP="000F4491">
      <w:pPr>
        <w:pStyle w:val="BodyText"/>
        <w:rPr>
          <w:color w:val="auto"/>
        </w:rPr>
      </w:pPr>
      <w:r w:rsidRPr="0060529A">
        <w:rPr>
          <w:color w:val="auto"/>
        </w:rPr>
        <w:t xml:space="preserve">A number of methods exist for establishing the </w:t>
      </w:r>
      <w:r w:rsidR="002A78AA">
        <w:rPr>
          <w:color w:val="auto"/>
        </w:rPr>
        <w:t>ecological water requirements and groundwater dependence of GDEs</w:t>
      </w:r>
      <w:r w:rsidRPr="0060529A">
        <w:rPr>
          <w:color w:val="auto"/>
        </w:rPr>
        <w:t xml:space="preserve"> and are </w:t>
      </w:r>
      <w:r w:rsidR="00EB2763">
        <w:rPr>
          <w:color w:val="auto"/>
        </w:rPr>
        <w:t xml:space="preserve">detailed in </w:t>
      </w:r>
      <w:r w:rsidR="00C4557D">
        <w:rPr>
          <w:color w:val="auto"/>
        </w:rPr>
        <w:fldChar w:fldCharType="begin"/>
      </w:r>
      <w:r w:rsidR="00C4557D">
        <w:rPr>
          <w:color w:val="auto"/>
        </w:rPr>
        <w:instrText xml:space="preserve"> REF _Ref507707870 \h </w:instrText>
      </w:r>
      <w:r w:rsidR="00C4557D">
        <w:rPr>
          <w:color w:val="auto"/>
        </w:rPr>
      </w:r>
      <w:r w:rsidR="00C4557D">
        <w:rPr>
          <w:color w:val="auto"/>
        </w:rPr>
        <w:fldChar w:fldCharType="separate"/>
      </w:r>
      <w:r w:rsidR="00E96B43">
        <w:t xml:space="preserve">App Table </w:t>
      </w:r>
      <w:r w:rsidR="00E96B43">
        <w:rPr>
          <w:noProof/>
        </w:rPr>
        <w:t>2</w:t>
      </w:r>
      <w:r w:rsidR="00C4557D">
        <w:rPr>
          <w:color w:val="auto"/>
        </w:rPr>
        <w:fldChar w:fldCharType="end"/>
      </w:r>
      <w:r w:rsidR="00EB2763">
        <w:rPr>
          <w:color w:val="auto"/>
        </w:rPr>
        <w:t xml:space="preserve"> and summarised in </w:t>
      </w:r>
      <w:r w:rsidR="00EB2763">
        <w:rPr>
          <w:color w:val="auto"/>
        </w:rPr>
        <w:fldChar w:fldCharType="begin"/>
      </w:r>
      <w:r w:rsidR="00EB2763">
        <w:rPr>
          <w:color w:val="auto"/>
        </w:rPr>
        <w:instrText xml:space="preserve"> REF _Ref509649878 \h </w:instrText>
      </w:r>
      <w:r w:rsidR="00EB2763">
        <w:rPr>
          <w:color w:val="auto"/>
        </w:rPr>
      </w:r>
      <w:r w:rsidR="00EB2763">
        <w:rPr>
          <w:color w:val="auto"/>
        </w:rPr>
        <w:fldChar w:fldCharType="separate"/>
      </w:r>
      <w:r w:rsidR="00E96B43">
        <w:t xml:space="preserve">Table </w:t>
      </w:r>
      <w:r w:rsidR="00E96B43">
        <w:rPr>
          <w:noProof/>
        </w:rPr>
        <w:t>2</w:t>
      </w:r>
      <w:r w:rsidR="00EB2763">
        <w:rPr>
          <w:color w:val="auto"/>
        </w:rPr>
        <w:fldChar w:fldCharType="end"/>
      </w:r>
      <w:r w:rsidR="00C4557D">
        <w:rPr>
          <w:color w:val="auto"/>
        </w:rPr>
        <w:t>.</w:t>
      </w:r>
      <w:r w:rsidRPr="0060529A">
        <w:rPr>
          <w:color w:val="auto"/>
        </w:rPr>
        <w:t xml:space="preserve"> Tools T3</w:t>
      </w:r>
      <w:r w:rsidR="0005357B">
        <w:rPr>
          <w:color w:val="auto"/>
        </w:rPr>
        <w:t xml:space="preserve"> </w:t>
      </w:r>
      <w:r w:rsidRPr="0060529A">
        <w:rPr>
          <w:color w:val="auto"/>
        </w:rPr>
        <w:t>-</w:t>
      </w:r>
      <w:r w:rsidR="0005357B">
        <w:rPr>
          <w:color w:val="auto"/>
        </w:rPr>
        <w:t xml:space="preserve"> </w:t>
      </w:r>
      <w:r w:rsidRPr="0060529A">
        <w:rPr>
          <w:color w:val="auto"/>
        </w:rPr>
        <w:t xml:space="preserve">T6 aim to identify the sources of water </w:t>
      </w:r>
      <w:r w:rsidRPr="000B3864">
        <w:rPr>
          <w:color w:val="auto"/>
        </w:rPr>
        <w:t xml:space="preserve">used by vegetation, and </w:t>
      </w:r>
      <w:r w:rsidR="002A78AA">
        <w:rPr>
          <w:color w:val="auto"/>
        </w:rPr>
        <w:t xml:space="preserve">tools </w:t>
      </w:r>
      <w:r w:rsidRPr="000B3864">
        <w:rPr>
          <w:color w:val="auto"/>
        </w:rPr>
        <w:t>T7</w:t>
      </w:r>
      <w:r w:rsidR="0005357B">
        <w:rPr>
          <w:color w:val="auto"/>
        </w:rPr>
        <w:t xml:space="preserve"> </w:t>
      </w:r>
      <w:r w:rsidRPr="000B3864">
        <w:rPr>
          <w:color w:val="auto"/>
        </w:rPr>
        <w:t>-</w:t>
      </w:r>
      <w:r w:rsidR="0005357B">
        <w:rPr>
          <w:color w:val="auto"/>
        </w:rPr>
        <w:t xml:space="preserve"> </w:t>
      </w:r>
      <w:r w:rsidRPr="000B3864">
        <w:rPr>
          <w:color w:val="auto"/>
        </w:rPr>
        <w:t xml:space="preserve">T8 </w:t>
      </w:r>
      <w:r w:rsidR="00652F4E" w:rsidRPr="000B3864">
        <w:rPr>
          <w:color w:val="auto"/>
        </w:rPr>
        <w:t>and NT5</w:t>
      </w:r>
      <w:r w:rsidRPr="000B3864">
        <w:rPr>
          <w:color w:val="auto"/>
        </w:rPr>
        <w:t xml:space="preserve"> </w:t>
      </w:r>
      <w:r w:rsidR="002F6F12" w:rsidRPr="000B3864">
        <w:rPr>
          <w:color w:val="auto"/>
        </w:rPr>
        <w:t>(</w:t>
      </w:r>
      <w:r w:rsidR="00C4557D" w:rsidRPr="00EB2763">
        <w:rPr>
          <w:color w:val="auto"/>
        </w:rPr>
        <w:t xml:space="preserve">see </w:t>
      </w:r>
      <w:r w:rsidR="000B3864" w:rsidRPr="00EB2763">
        <w:rPr>
          <w:color w:val="auto"/>
        </w:rPr>
        <w:t>CASE STUDY</w:t>
      </w:r>
      <w:r w:rsidR="005A2255" w:rsidRPr="00EB2763">
        <w:rPr>
          <w:color w:val="auto"/>
        </w:rPr>
        <w:t xml:space="preserve"> </w:t>
      </w:r>
      <w:r w:rsidR="00EB2763" w:rsidRPr="00EB2763">
        <w:rPr>
          <w:color w:val="auto"/>
        </w:rPr>
        <w:t>3</w:t>
      </w:r>
      <w:r w:rsidR="002F6F12" w:rsidRPr="00EB2763">
        <w:rPr>
          <w:color w:val="auto"/>
        </w:rPr>
        <w:t>)</w:t>
      </w:r>
      <w:r w:rsidR="002F6F12" w:rsidRPr="000B3864">
        <w:rPr>
          <w:color w:val="auto"/>
        </w:rPr>
        <w:t xml:space="preserve"> </w:t>
      </w:r>
      <w:r w:rsidRPr="000B3864">
        <w:rPr>
          <w:color w:val="auto"/>
        </w:rPr>
        <w:t>aim to identify</w:t>
      </w:r>
      <w:r w:rsidRPr="0060529A">
        <w:rPr>
          <w:color w:val="auto"/>
        </w:rPr>
        <w:t xml:space="preserve"> whether vegetation uses more water than is likely to be available without access to groundwater. </w:t>
      </w:r>
      <w:r w:rsidR="00EB2763">
        <w:rPr>
          <w:color w:val="auto"/>
        </w:rPr>
        <w:t>A multiple</w:t>
      </w:r>
      <w:r w:rsidR="002A78AA">
        <w:rPr>
          <w:color w:val="auto"/>
        </w:rPr>
        <w:t>-</w:t>
      </w:r>
      <w:r w:rsidR="00EB2763">
        <w:rPr>
          <w:color w:val="auto"/>
        </w:rPr>
        <w:t>lines</w:t>
      </w:r>
      <w:r w:rsidR="002A78AA">
        <w:rPr>
          <w:color w:val="auto"/>
        </w:rPr>
        <w:t>-</w:t>
      </w:r>
      <w:r w:rsidR="00EB2763">
        <w:rPr>
          <w:color w:val="auto"/>
        </w:rPr>
        <w:t>of</w:t>
      </w:r>
      <w:r w:rsidR="002A78AA">
        <w:rPr>
          <w:color w:val="auto"/>
        </w:rPr>
        <w:t>-</w:t>
      </w:r>
      <w:r w:rsidR="00EB2763">
        <w:rPr>
          <w:color w:val="auto"/>
        </w:rPr>
        <w:t xml:space="preserve">evidence approach is required </w:t>
      </w:r>
      <w:r w:rsidR="00EB2763">
        <w:rPr>
          <w:color w:val="auto"/>
        </w:rPr>
        <w:lastRenderedPageBreak/>
        <w:t xml:space="preserve">to determine level of groundwater dependence (high, medium, low, </w:t>
      </w:r>
      <w:proofErr w:type="gramStart"/>
      <w:r w:rsidR="00EB2763">
        <w:rPr>
          <w:color w:val="auto"/>
        </w:rPr>
        <w:t>nil</w:t>
      </w:r>
      <w:proofErr w:type="gramEnd"/>
      <w:r w:rsidR="00EB2763">
        <w:rPr>
          <w:color w:val="auto"/>
        </w:rPr>
        <w:t>)</w:t>
      </w:r>
      <w:r w:rsidR="009E08E0">
        <w:rPr>
          <w:color w:val="auto"/>
        </w:rPr>
        <w:t xml:space="preserve">. Dependence level is related to quality of data used (qualitative versus quantitative) and the number of lines of evidence (see Doody et al., 2017). The ‘precautionary principle’ </w:t>
      </w:r>
      <w:r w:rsidR="003E6F39">
        <w:rPr>
          <w:color w:val="auto"/>
        </w:rPr>
        <w:t xml:space="preserve">(taking preventative action in the face of uncertainty) </w:t>
      </w:r>
      <w:r w:rsidR="009E08E0">
        <w:rPr>
          <w:color w:val="auto"/>
        </w:rPr>
        <w:t>is employed when insufficient data exists to determine dependence.</w:t>
      </w:r>
    </w:p>
    <w:p w14:paraId="31C8BBFD" w14:textId="77777777" w:rsidR="00E15108" w:rsidRDefault="00E15108" w:rsidP="00E15108">
      <w:pPr>
        <w:pStyle w:val="Caption"/>
      </w:pPr>
      <w:bookmarkStart w:id="48" w:name="_Ref509649878"/>
      <w:bookmarkStart w:id="49" w:name="_Toc509991065"/>
      <w:r>
        <w:t xml:space="preserve">Table </w:t>
      </w:r>
      <w:r w:rsidR="00085933">
        <w:fldChar w:fldCharType="begin"/>
      </w:r>
      <w:r w:rsidR="00085933">
        <w:instrText xml:space="preserve"> SEQ Table \* ARABIC </w:instrText>
      </w:r>
      <w:r w:rsidR="00085933">
        <w:fldChar w:fldCharType="separate"/>
      </w:r>
      <w:r w:rsidR="00E96B43">
        <w:rPr>
          <w:noProof/>
        </w:rPr>
        <w:t>2</w:t>
      </w:r>
      <w:r w:rsidR="00085933">
        <w:rPr>
          <w:noProof/>
        </w:rPr>
        <w:fldChar w:fldCharType="end"/>
      </w:r>
      <w:bookmarkEnd w:id="48"/>
      <w:r>
        <w:t>. Summary of tools for assessing GDEs</w:t>
      </w:r>
      <w:r w:rsidR="00B36509">
        <w:t xml:space="preserve"> which incorporate field data</w:t>
      </w:r>
      <w:r w:rsidR="00846712">
        <w:t xml:space="preserve"> (see </w:t>
      </w:r>
      <w:r w:rsidR="00846712">
        <w:fldChar w:fldCharType="begin"/>
      </w:r>
      <w:r w:rsidR="00846712">
        <w:instrText xml:space="preserve"> REF _Ref507707870 \h </w:instrText>
      </w:r>
      <w:r w:rsidR="00846712">
        <w:fldChar w:fldCharType="separate"/>
      </w:r>
      <w:r w:rsidR="00E96B43">
        <w:t xml:space="preserve">App Table </w:t>
      </w:r>
      <w:r w:rsidR="00E96B43">
        <w:rPr>
          <w:noProof/>
        </w:rPr>
        <w:t>2</w:t>
      </w:r>
      <w:r w:rsidR="00846712">
        <w:fldChar w:fldCharType="end"/>
      </w:r>
      <w:r w:rsidR="00846712">
        <w:t xml:space="preserve"> for full details). T=Tool shown in the GDE Toolbox; NT=New Tool</w:t>
      </w:r>
      <w:bookmarkEnd w:id="49"/>
    </w:p>
    <w:tbl>
      <w:tblPr>
        <w:tblStyle w:val="TableCSIRO"/>
        <w:tblW w:w="0" w:type="auto"/>
        <w:jc w:val="center"/>
        <w:tblInd w:w="0" w:type="dxa"/>
        <w:tblLook w:val="04A0" w:firstRow="1" w:lastRow="0" w:firstColumn="1" w:lastColumn="0" w:noHBand="0" w:noVBand="1"/>
      </w:tblPr>
      <w:tblGrid>
        <w:gridCol w:w="2439"/>
        <w:gridCol w:w="5176"/>
      </w:tblGrid>
      <w:tr w:rsidR="00E15108" w14:paraId="31C8BC00" w14:textId="77777777" w:rsidTr="008467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BFE" w14:textId="77777777" w:rsidR="00E15108" w:rsidRDefault="00E15108" w:rsidP="000F4491">
            <w:pPr>
              <w:pStyle w:val="BodyText"/>
              <w:rPr>
                <w:color w:val="auto"/>
              </w:rPr>
            </w:pPr>
            <w:r>
              <w:rPr>
                <w:color w:val="auto"/>
              </w:rPr>
              <w:t>Code</w:t>
            </w:r>
          </w:p>
        </w:tc>
        <w:tc>
          <w:tcPr>
            <w:tcW w:w="5176" w:type="dxa"/>
          </w:tcPr>
          <w:p w14:paraId="31C8BBFF" w14:textId="77777777" w:rsidR="00E15108" w:rsidRDefault="00E15108" w:rsidP="000F4491">
            <w:pPr>
              <w:pStyle w:val="BodyText"/>
              <w:cnfStyle w:val="100000000000" w:firstRow="1" w:lastRow="0" w:firstColumn="0" w:lastColumn="0" w:oddVBand="0" w:evenVBand="0" w:oddHBand="0" w:evenHBand="0" w:firstRowFirstColumn="0" w:firstRowLastColumn="0" w:lastRowFirstColumn="0" w:lastRowLastColumn="0"/>
              <w:rPr>
                <w:color w:val="auto"/>
              </w:rPr>
            </w:pPr>
            <w:r>
              <w:rPr>
                <w:color w:val="auto"/>
              </w:rPr>
              <w:t>Tool</w:t>
            </w:r>
          </w:p>
        </w:tc>
      </w:tr>
      <w:tr w:rsidR="00E15108" w14:paraId="31C8BC03" w14:textId="77777777" w:rsidTr="00846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01" w14:textId="77777777" w:rsidR="00E15108" w:rsidRDefault="00E15108" w:rsidP="000F4491">
            <w:pPr>
              <w:pStyle w:val="BodyText"/>
              <w:rPr>
                <w:color w:val="auto"/>
              </w:rPr>
            </w:pPr>
            <w:r>
              <w:rPr>
                <w:color w:val="auto"/>
              </w:rPr>
              <w:t>T3</w:t>
            </w:r>
          </w:p>
        </w:tc>
        <w:tc>
          <w:tcPr>
            <w:tcW w:w="5176" w:type="dxa"/>
          </w:tcPr>
          <w:p w14:paraId="31C8BC02" w14:textId="77777777" w:rsidR="00E15108" w:rsidRDefault="00E15108" w:rsidP="000F4491">
            <w:pPr>
              <w:pStyle w:val="BodyText"/>
              <w:cnfStyle w:val="000000100000" w:firstRow="0" w:lastRow="0" w:firstColumn="0" w:lastColumn="0" w:oddVBand="0" w:evenVBand="0" w:oddHBand="1" w:evenHBand="0" w:firstRowFirstColumn="0" w:firstRowLastColumn="0" w:lastRowFirstColumn="0" w:lastRowLastColumn="0"/>
              <w:rPr>
                <w:color w:val="auto"/>
              </w:rPr>
            </w:pPr>
            <w:r>
              <w:rPr>
                <w:color w:val="auto"/>
              </w:rPr>
              <w:t>Pre-dawn water potential</w:t>
            </w:r>
          </w:p>
        </w:tc>
      </w:tr>
      <w:tr w:rsidR="00E15108" w14:paraId="31C8BC06" w14:textId="77777777" w:rsidTr="00846712">
        <w:trPr>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04" w14:textId="77777777" w:rsidR="00E15108" w:rsidRDefault="00E15108" w:rsidP="000F4491">
            <w:pPr>
              <w:pStyle w:val="BodyText"/>
              <w:rPr>
                <w:color w:val="auto"/>
              </w:rPr>
            </w:pPr>
            <w:r>
              <w:rPr>
                <w:color w:val="auto"/>
              </w:rPr>
              <w:t>T4</w:t>
            </w:r>
          </w:p>
        </w:tc>
        <w:tc>
          <w:tcPr>
            <w:tcW w:w="5176" w:type="dxa"/>
          </w:tcPr>
          <w:p w14:paraId="31C8BC05" w14:textId="77777777" w:rsidR="00E15108" w:rsidRDefault="00E15108" w:rsidP="000F4491">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Plant water stable isotopes</w:t>
            </w:r>
          </w:p>
        </w:tc>
      </w:tr>
      <w:tr w:rsidR="00E15108" w14:paraId="31C8BC09" w14:textId="77777777" w:rsidTr="00846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07" w14:textId="77777777" w:rsidR="00E15108" w:rsidRDefault="00E15108" w:rsidP="000F4491">
            <w:pPr>
              <w:pStyle w:val="BodyText"/>
              <w:rPr>
                <w:color w:val="auto"/>
              </w:rPr>
            </w:pPr>
            <w:r>
              <w:rPr>
                <w:color w:val="auto"/>
              </w:rPr>
              <w:t>T5</w:t>
            </w:r>
          </w:p>
        </w:tc>
        <w:tc>
          <w:tcPr>
            <w:tcW w:w="5176" w:type="dxa"/>
          </w:tcPr>
          <w:p w14:paraId="31C8BC08" w14:textId="77777777" w:rsidR="00E15108" w:rsidRDefault="00E15108" w:rsidP="00E15108">
            <w:pPr>
              <w:pStyle w:val="BodyText"/>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Plant water use </w:t>
            </w:r>
            <w:r w:rsidR="00B36509">
              <w:rPr>
                <w:color w:val="auto"/>
              </w:rPr>
              <w:t>modelling</w:t>
            </w:r>
          </w:p>
        </w:tc>
      </w:tr>
      <w:tr w:rsidR="00E15108" w14:paraId="31C8BC0C" w14:textId="77777777" w:rsidTr="00846712">
        <w:trPr>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0A" w14:textId="77777777" w:rsidR="00E15108" w:rsidRDefault="00E15108" w:rsidP="000F4491">
            <w:pPr>
              <w:pStyle w:val="BodyText"/>
              <w:rPr>
                <w:color w:val="auto"/>
              </w:rPr>
            </w:pPr>
            <w:r>
              <w:rPr>
                <w:color w:val="auto"/>
              </w:rPr>
              <w:t>T6</w:t>
            </w:r>
          </w:p>
        </w:tc>
        <w:tc>
          <w:tcPr>
            <w:tcW w:w="5176" w:type="dxa"/>
          </w:tcPr>
          <w:p w14:paraId="31C8BC0B" w14:textId="77777777" w:rsidR="00E15108" w:rsidRDefault="00E15108" w:rsidP="000F4491">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Plant rooting depth and morphology</w:t>
            </w:r>
          </w:p>
        </w:tc>
      </w:tr>
      <w:tr w:rsidR="00E15108" w14:paraId="31C8BC0F" w14:textId="77777777" w:rsidTr="00846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0D" w14:textId="77777777" w:rsidR="00E15108" w:rsidRDefault="00E15108" w:rsidP="000F4491">
            <w:pPr>
              <w:pStyle w:val="BodyText"/>
              <w:rPr>
                <w:color w:val="auto"/>
              </w:rPr>
            </w:pPr>
            <w:r>
              <w:rPr>
                <w:color w:val="auto"/>
              </w:rPr>
              <w:t>T7</w:t>
            </w:r>
          </w:p>
        </w:tc>
        <w:tc>
          <w:tcPr>
            <w:tcW w:w="5176" w:type="dxa"/>
          </w:tcPr>
          <w:p w14:paraId="31C8BC0E" w14:textId="77777777" w:rsidR="00E15108" w:rsidRDefault="00B36509" w:rsidP="000F4491">
            <w:pPr>
              <w:pStyle w:val="BodyText"/>
              <w:cnfStyle w:val="000000100000" w:firstRow="0" w:lastRow="0" w:firstColumn="0" w:lastColumn="0" w:oddVBand="0" w:evenVBand="0" w:oddHBand="1" w:evenHBand="0" w:firstRowFirstColumn="0" w:firstRowLastColumn="0" w:lastRowFirstColumn="0" w:lastRowLastColumn="0"/>
              <w:rPr>
                <w:color w:val="auto"/>
              </w:rPr>
            </w:pPr>
            <w:r>
              <w:rPr>
                <w:color w:val="auto"/>
              </w:rPr>
              <w:t>Plant groundwater use field methods</w:t>
            </w:r>
          </w:p>
        </w:tc>
      </w:tr>
      <w:tr w:rsidR="00E15108" w14:paraId="31C8BC12" w14:textId="77777777" w:rsidTr="00846712">
        <w:trPr>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10" w14:textId="77777777" w:rsidR="00E15108" w:rsidRDefault="00E15108" w:rsidP="000F4491">
            <w:pPr>
              <w:pStyle w:val="BodyText"/>
              <w:rPr>
                <w:color w:val="auto"/>
              </w:rPr>
            </w:pPr>
            <w:r>
              <w:rPr>
                <w:color w:val="auto"/>
              </w:rPr>
              <w:t>T8</w:t>
            </w:r>
          </w:p>
        </w:tc>
        <w:tc>
          <w:tcPr>
            <w:tcW w:w="5176" w:type="dxa"/>
          </w:tcPr>
          <w:p w14:paraId="31C8BC11" w14:textId="77777777" w:rsidR="00E15108" w:rsidRDefault="00B36509" w:rsidP="000F4491">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Vegetation water balance</w:t>
            </w:r>
          </w:p>
        </w:tc>
      </w:tr>
      <w:tr w:rsidR="00E15108" w14:paraId="31C8BC15" w14:textId="77777777" w:rsidTr="00846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13" w14:textId="77777777" w:rsidR="00E15108" w:rsidRDefault="00E15108" w:rsidP="000F4491">
            <w:pPr>
              <w:pStyle w:val="BodyText"/>
              <w:rPr>
                <w:color w:val="auto"/>
              </w:rPr>
            </w:pPr>
            <w:r>
              <w:rPr>
                <w:color w:val="auto"/>
              </w:rPr>
              <w:t>T9</w:t>
            </w:r>
          </w:p>
        </w:tc>
        <w:tc>
          <w:tcPr>
            <w:tcW w:w="5176" w:type="dxa"/>
          </w:tcPr>
          <w:p w14:paraId="31C8BC14" w14:textId="77777777" w:rsidR="00E15108" w:rsidRDefault="00B36509" w:rsidP="000F4491">
            <w:pPr>
              <w:pStyle w:val="BodyText"/>
              <w:cnfStyle w:val="000000100000" w:firstRow="0" w:lastRow="0" w:firstColumn="0" w:lastColumn="0" w:oddVBand="0" w:evenVBand="0" w:oddHBand="1" w:evenHBand="0" w:firstRowFirstColumn="0" w:firstRowLastColumn="0" w:lastRowFirstColumn="0" w:lastRowLastColumn="0"/>
              <w:rPr>
                <w:color w:val="auto"/>
              </w:rPr>
            </w:pPr>
            <w:r>
              <w:rPr>
                <w:color w:val="auto"/>
              </w:rPr>
              <w:t>Stygofauna sampling</w:t>
            </w:r>
          </w:p>
        </w:tc>
      </w:tr>
      <w:tr w:rsidR="00E15108" w14:paraId="31C8BC18" w14:textId="77777777" w:rsidTr="00846712">
        <w:trPr>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16" w14:textId="77777777" w:rsidR="00E15108" w:rsidRDefault="00E15108" w:rsidP="000F4491">
            <w:pPr>
              <w:pStyle w:val="BodyText"/>
              <w:rPr>
                <w:color w:val="auto"/>
              </w:rPr>
            </w:pPr>
            <w:r>
              <w:rPr>
                <w:color w:val="auto"/>
              </w:rPr>
              <w:t>T10</w:t>
            </w:r>
          </w:p>
        </w:tc>
        <w:tc>
          <w:tcPr>
            <w:tcW w:w="5176" w:type="dxa"/>
          </w:tcPr>
          <w:p w14:paraId="31C8BC17" w14:textId="77777777" w:rsidR="00E15108" w:rsidRDefault="00B36509" w:rsidP="000F4491">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Evaluation of surface water – groundwater interactions</w:t>
            </w:r>
          </w:p>
        </w:tc>
      </w:tr>
      <w:tr w:rsidR="00E15108" w14:paraId="31C8BC1B" w14:textId="77777777" w:rsidTr="00846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19" w14:textId="77777777" w:rsidR="00E15108" w:rsidRDefault="00E15108" w:rsidP="000F4491">
            <w:pPr>
              <w:pStyle w:val="BodyText"/>
              <w:rPr>
                <w:color w:val="auto"/>
              </w:rPr>
            </w:pPr>
            <w:r>
              <w:rPr>
                <w:color w:val="auto"/>
              </w:rPr>
              <w:t>T11</w:t>
            </w:r>
          </w:p>
        </w:tc>
        <w:tc>
          <w:tcPr>
            <w:tcW w:w="5176" w:type="dxa"/>
          </w:tcPr>
          <w:p w14:paraId="31C8BC1A" w14:textId="77777777" w:rsidR="00E15108" w:rsidRDefault="00B36509" w:rsidP="000F4491">
            <w:pPr>
              <w:pStyle w:val="BodyText"/>
              <w:cnfStyle w:val="000000100000" w:firstRow="0" w:lastRow="0" w:firstColumn="0" w:lastColumn="0" w:oddVBand="0" w:evenVBand="0" w:oddHBand="1" w:evenHBand="0" w:firstRowFirstColumn="0" w:firstRowLastColumn="0" w:lastRowFirstColumn="0" w:lastRowLastColumn="0"/>
              <w:rPr>
                <w:color w:val="auto"/>
              </w:rPr>
            </w:pPr>
            <w:r>
              <w:rPr>
                <w:color w:val="auto"/>
              </w:rPr>
              <w:t>Environmental tracers</w:t>
            </w:r>
          </w:p>
        </w:tc>
      </w:tr>
      <w:tr w:rsidR="00E15108" w14:paraId="31C8BC1E" w14:textId="77777777" w:rsidTr="00846712">
        <w:trPr>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1C" w14:textId="77777777" w:rsidR="00E15108" w:rsidRDefault="00E15108" w:rsidP="000F4491">
            <w:pPr>
              <w:pStyle w:val="BodyText"/>
              <w:rPr>
                <w:color w:val="auto"/>
              </w:rPr>
            </w:pPr>
            <w:r>
              <w:rPr>
                <w:color w:val="auto"/>
              </w:rPr>
              <w:t>T12</w:t>
            </w:r>
          </w:p>
        </w:tc>
        <w:tc>
          <w:tcPr>
            <w:tcW w:w="5176" w:type="dxa"/>
          </w:tcPr>
          <w:p w14:paraId="31C8BC1D" w14:textId="77777777" w:rsidR="00E15108" w:rsidRDefault="00B36509" w:rsidP="000F4491">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Introduced tracers</w:t>
            </w:r>
          </w:p>
        </w:tc>
      </w:tr>
      <w:tr w:rsidR="00E15108" w14:paraId="31C8BC21" w14:textId="77777777" w:rsidTr="00846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1F" w14:textId="77777777" w:rsidR="00E15108" w:rsidRDefault="00E15108" w:rsidP="000F4491">
            <w:pPr>
              <w:pStyle w:val="BodyText"/>
              <w:rPr>
                <w:color w:val="auto"/>
              </w:rPr>
            </w:pPr>
            <w:r>
              <w:rPr>
                <w:color w:val="auto"/>
              </w:rPr>
              <w:t>T13</w:t>
            </w:r>
          </w:p>
        </w:tc>
        <w:tc>
          <w:tcPr>
            <w:tcW w:w="5176" w:type="dxa"/>
          </w:tcPr>
          <w:p w14:paraId="31C8BC20" w14:textId="77777777" w:rsidR="00E15108" w:rsidRDefault="00B36509" w:rsidP="00B36509">
            <w:pPr>
              <w:pStyle w:val="BodyText"/>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Long-term observation of ecosystem response to change </w:t>
            </w:r>
          </w:p>
        </w:tc>
      </w:tr>
      <w:tr w:rsidR="00E15108" w14:paraId="31C8BC24" w14:textId="77777777" w:rsidTr="00846712">
        <w:trPr>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22" w14:textId="77777777" w:rsidR="00E15108" w:rsidRDefault="00E15108" w:rsidP="000F4491">
            <w:pPr>
              <w:pStyle w:val="BodyText"/>
              <w:rPr>
                <w:color w:val="auto"/>
              </w:rPr>
            </w:pPr>
            <w:r>
              <w:rPr>
                <w:color w:val="auto"/>
              </w:rPr>
              <w:t>T14</w:t>
            </w:r>
          </w:p>
        </w:tc>
        <w:tc>
          <w:tcPr>
            <w:tcW w:w="5176" w:type="dxa"/>
          </w:tcPr>
          <w:p w14:paraId="31C8BC23" w14:textId="77777777" w:rsidR="00E15108" w:rsidRDefault="00B36509" w:rsidP="000F4491">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Numerical groundwater modelling</w:t>
            </w:r>
          </w:p>
        </w:tc>
      </w:tr>
      <w:tr w:rsidR="00E15108" w14:paraId="31C8BC27" w14:textId="77777777" w:rsidTr="00846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31C8BC25" w14:textId="77777777" w:rsidR="00E15108" w:rsidRDefault="00E15108" w:rsidP="000F4491">
            <w:pPr>
              <w:pStyle w:val="BodyText"/>
              <w:rPr>
                <w:color w:val="auto"/>
              </w:rPr>
            </w:pPr>
            <w:r>
              <w:rPr>
                <w:color w:val="auto"/>
              </w:rPr>
              <w:t>NT4</w:t>
            </w:r>
          </w:p>
        </w:tc>
        <w:tc>
          <w:tcPr>
            <w:tcW w:w="5176" w:type="dxa"/>
          </w:tcPr>
          <w:p w14:paraId="31C8BC26" w14:textId="77777777" w:rsidR="00E15108" w:rsidRDefault="00C66F25" w:rsidP="000F4491">
            <w:pPr>
              <w:pStyle w:val="BodyText"/>
              <w:cnfStyle w:val="000000100000" w:firstRow="0" w:lastRow="0" w:firstColumn="0" w:lastColumn="0" w:oddVBand="0" w:evenVBand="0" w:oddHBand="1" w:evenHBand="0" w:firstRowFirstColumn="0" w:firstRowLastColumn="0" w:lastRowFirstColumn="0" w:lastRowLastColumn="0"/>
              <w:rPr>
                <w:color w:val="auto"/>
              </w:rPr>
            </w:pPr>
            <w:r>
              <w:rPr>
                <w:color w:val="auto"/>
              </w:rPr>
              <w:t>Genetic/DNA analysis</w:t>
            </w:r>
          </w:p>
        </w:tc>
      </w:tr>
    </w:tbl>
    <w:p w14:paraId="31C8BC28" w14:textId="77777777" w:rsidR="00E15108" w:rsidRDefault="00E15108" w:rsidP="000F4491">
      <w:pPr>
        <w:pStyle w:val="BodyText"/>
        <w:rPr>
          <w:color w:val="auto"/>
        </w:rPr>
      </w:pPr>
    </w:p>
    <w:p w14:paraId="31C8BC29" w14:textId="77777777" w:rsidR="000F4491" w:rsidRPr="0060529A" w:rsidRDefault="00BD0CD7" w:rsidP="000F4491">
      <w:pPr>
        <w:pStyle w:val="BodyText"/>
        <w:rPr>
          <w:color w:val="auto"/>
        </w:rPr>
      </w:pPr>
      <w:r>
        <w:rPr>
          <w:noProof/>
          <w:color w:val="auto"/>
        </w:rPr>
        <w:drawing>
          <wp:anchor distT="0" distB="0" distL="114300" distR="114300" simplePos="0" relativeHeight="251900416" behindDoc="0" locked="0" layoutInCell="1" allowOverlap="1" wp14:anchorId="31C8C2EE" wp14:editId="31C8C2EF">
            <wp:simplePos x="0" y="0"/>
            <wp:positionH relativeFrom="margin">
              <wp:align>left</wp:align>
            </wp:positionH>
            <wp:positionV relativeFrom="paragraph">
              <wp:posOffset>1218848</wp:posOffset>
            </wp:positionV>
            <wp:extent cx="2472055" cy="1651635"/>
            <wp:effectExtent l="0" t="0" r="4445" b="5715"/>
            <wp:wrapThrough wrapText="bothSides">
              <wp:wrapPolygon edited="0">
                <wp:start x="0" y="0"/>
                <wp:lineTo x="0" y="21426"/>
                <wp:lineTo x="21472" y="21426"/>
                <wp:lineTo x="2147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7932v1.jpg"/>
                    <pic:cNvPicPr/>
                  </pic:nvPicPr>
                  <pic:blipFill>
                    <a:blip r:embed="rId63" cstate="email">
                      <a:extLst>
                        <a:ext uri="{28A0092B-C50C-407E-A947-70E740481C1C}">
                          <a14:useLocalDpi xmlns:a14="http://schemas.microsoft.com/office/drawing/2010/main"/>
                        </a:ext>
                      </a:extLst>
                    </a:blip>
                    <a:stretch>
                      <a:fillRect/>
                    </a:stretch>
                  </pic:blipFill>
                  <pic:spPr>
                    <a:xfrm>
                      <a:off x="0" y="0"/>
                      <a:ext cx="2472055" cy="1651635"/>
                    </a:xfrm>
                    <a:prstGeom prst="rect">
                      <a:avLst/>
                    </a:prstGeom>
                  </pic:spPr>
                </pic:pic>
              </a:graphicData>
            </a:graphic>
            <wp14:sizeRelH relativeFrom="margin">
              <wp14:pctWidth>0</wp14:pctWidth>
            </wp14:sizeRelH>
            <wp14:sizeRelV relativeFrom="margin">
              <wp14:pctHeight>0</wp14:pctHeight>
            </wp14:sizeRelV>
          </wp:anchor>
        </w:drawing>
      </w:r>
      <w:r w:rsidR="005A2255" w:rsidRPr="0060529A">
        <w:t xml:space="preserve">Shallow alluvial aquifers inherently have a high likelihood of being GDEs, and require sampling for </w:t>
      </w:r>
      <w:r w:rsidR="0029766E" w:rsidRPr="0060529A">
        <w:t xml:space="preserve">stygofauna </w:t>
      </w:r>
      <w:r w:rsidR="0029766E">
        <w:t>to</w:t>
      </w:r>
      <w:r w:rsidR="005A2255" w:rsidRPr="0060529A">
        <w:t xml:space="preserve"> confirm this</w:t>
      </w:r>
      <w:r w:rsidR="0011283C">
        <w:t xml:space="preserve"> (</w:t>
      </w:r>
      <w:r w:rsidR="001945E2">
        <w:t>T9)</w:t>
      </w:r>
      <w:r w:rsidR="005A2255" w:rsidRPr="0060529A">
        <w:t>.</w:t>
      </w:r>
      <w:r w:rsidR="005A2255">
        <w:t xml:space="preserve"> </w:t>
      </w:r>
      <w:r w:rsidR="000F4491" w:rsidRPr="0060529A">
        <w:rPr>
          <w:color w:val="auto"/>
        </w:rPr>
        <w:t>Recent advances in environmental DNA</w:t>
      </w:r>
      <w:r w:rsidR="004B7CBD">
        <w:rPr>
          <w:color w:val="auto"/>
        </w:rPr>
        <w:t xml:space="preserve"> (</w:t>
      </w:r>
      <w:proofErr w:type="spellStart"/>
      <w:proofErr w:type="gramStart"/>
      <w:r w:rsidR="004B7CBD">
        <w:rPr>
          <w:color w:val="auto"/>
        </w:rPr>
        <w:t>eDNA</w:t>
      </w:r>
      <w:proofErr w:type="spellEnd"/>
      <w:proofErr w:type="gramEnd"/>
      <w:r w:rsidR="004B7CBD">
        <w:rPr>
          <w:color w:val="auto"/>
        </w:rPr>
        <w:t>)</w:t>
      </w:r>
      <w:r w:rsidR="000F4491" w:rsidRPr="0060529A">
        <w:rPr>
          <w:color w:val="auto"/>
        </w:rPr>
        <w:t xml:space="preserve"> analysis provide a new approach to identify stygofauna habitats over larger scales (</w:t>
      </w:r>
      <w:proofErr w:type="spellStart"/>
      <w:r w:rsidR="00D56113">
        <w:rPr>
          <w:color w:val="auto"/>
        </w:rPr>
        <w:t>Gor</w:t>
      </w:r>
      <w:r w:rsidR="00D56113" w:rsidRPr="00D56113">
        <w:rPr>
          <w:color w:val="auto"/>
        </w:rPr>
        <w:t>ič</w:t>
      </w:r>
      <w:r w:rsidR="00D56113">
        <w:rPr>
          <w:color w:val="auto"/>
        </w:rPr>
        <w:t>ki</w:t>
      </w:r>
      <w:proofErr w:type="spellEnd"/>
      <w:r w:rsidR="00D56113">
        <w:rPr>
          <w:color w:val="auto"/>
        </w:rPr>
        <w:t xml:space="preserve"> et al.</w:t>
      </w:r>
      <w:r w:rsidR="0005357B">
        <w:rPr>
          <w:color w:val="auto"/>
        </w:rPr>
        <w:t>,</w:t>
      </w:r>
      <w:r w:rsidR="00D56113">
        <w:rPr>
          <w:color w:val="auto"/>
        </w:rPr>
        <w:t xml:space="preserve"> 2017</w:t>
      </w:r>
      <w:r w:rsidR="000F4491" w:rsidRPr="0060529A">
        <w:rPr>
          <w:color w:val="auto"/>
        </w:rPr>
        <w:t>)</w:t>
      </w:r>
      <w:r w:rsidR="00C4557D">
        <w:rPr>
          <w:color w:val="auto"/>
        </w:rPr>
        <w:t>.</w:t>
      </w:r>
      <w:r w:rsidR="004B7CBD">
        <w:rPr>
          <w:color w:val="auto"/>
        </w:rPr>
        <w:t xml:space="preserve"> While </w:t>
      </w:r>
      <w:proofErr w:type="spellStart"/>
      <w:proofErr w:type="gramStart"/>
      <w:r w:rsidR="004B7CBD">
        <w:rPr>
          <w:color w:val="auto"/>
        </w:rPr>
        <w:t>eDNA</w:t>
      </w:r>
      <w:proofErr w:type="spellEnd"/>
      <w:proofErr w:type="gramEnd"/>
      <w:r w:rsidR="004B7CBD">
        <w:rPr>
          <w:color w:val="auto"/>
        </w:rPr>
        <w:t xml:space="preserve"> is still largely in the realm of research, it will likely become more readily available as a tool for consultants in the next </w:t>
      </w:r>
      <w:r w:rsidR="0005357B">
        <w:rPr>
          <w:color w:val="auto"/>
        </w:rPr>
        <w:t>five</w:t>
      </w:r>
      <w:r w:rsidR="004B7CBD">
        <w:rPr>
          <w:color w:val="auto"/>
        </w:rPr>
        <w:t xml:space="preserve"> years</w:t>
      </w:r>
      <w:r w:rsidR="001C2A55">
        <w:rPr>
          <w:color w:val="auto"/>
        </w:rPr>
        <w:t xml:space="preserve"> (see </w:t>
      </w:r>
      <w:r w:rsidR="001C2A55" w:rsidRPr="005A4714">
        <w:rPr>
          <w:color w:val="auto"/>
        </w:rPr>
        <w:t xml:space="preserve">CASE STUDY </w:t>
      </w:r>
      <w:r w:rsidR="005A4714" w:rsidRPr="005A4714">
        <w:rPr>
          <w:color w:val="auto"/>
        </w:rPr>
        <w:t>4</w:t>
      </w:r>
      <w:r w:rsidR="001C2A55" w:rsidRPr="005A4714">
        <w:rPr>
          <w:color w:val="auto"/>
        </w:rPr>
        <w:t>)</w:t>
      </w:r>
      <w:r w:rsidR="004B7CBD" w:rsidRPr="005A4714">
        <w:rPr>
          <w:color w:val="auto"/>
        </w:rPr>
        <w:t>.</w:t>
      </w:r>
      <w:r w:rsidR="00C4557D">
        <w:rPr>
          <w:color w:val="auto"/>
        </w:rPr>
        <w:t xml:space="preserve"> Tools T10</w:t>
      </w:r>
      <w:r w:rsidR="0005357B">
        <w:rPr>
          <w:color w:val="auto"/>
        </w:rPr>
        <w:t xml:space="preserve"> </w:t>
      </w:r>
      <w:r w:rsidR="00C4557D">
        <w:rPr>
          <w:color w:val="auto"/>
        </w:rPr>
        <w:t>-</w:t>
      </w:r>
      <w:r w:rsidR="0005357B">
        <w:rPr>
          <w:color w:val="auto"/>
        </w:rPr>
        <w:t xml:space="preserve"> </w:t>
      </w:r>
      <w:r w:rsidR="00C4557D">
        <w:rPr>
          <w:color w:val="auto"/>
        </w:rPr>
        <w:t>T12</w:t>
      </w:r>
      <w:r w:rsidR="000F4491" w:rsidRPr="0060529A">
        <w:rPr>
          <w:color w:val="auto"/>
        </w:rPr>
        <w:t xml:space="preserve"> detail techniques for understanding how groundwater interacts with aquatic GDEs (e.g. rivers, wetlands, springs, </w:t>
      </w:r>
      <w:proofErr w:type="gramStart"/>
      <w:r w:rsidR="000F4491" w:rsidRPr="0060529A">
        <w:rPr>
          <w:color w:val="auto"/>
        </w:rPr>
        <w:t>swamps</w:t>
      </w:r>
      <w:proofErr w:type="gramEnd"/>
      <w:r w:rsidR="000F4491" w:rsidRPr="0060529A">
        <w:rPr>
          <w:color w:val="auto"/>
        </w:rPr>
        <w:t xml:space="preserve">). In addition to these techniques, groundwater connection can be confirmed through the presence of stygofauna in the </w:t>
      </w:r>
      <w:proofErr w:type="spellStart"/>
      <w:r w:rsidR="000F4491" w:rsidRPr="0060529A">
        <w:rPr>
          <w:color w:val="auto"/>
        </w:rPr>
        <w:t>hyporheic</w:t>
      </w:r>
      <w:proofErr w:type="spellEnd"/>
      <w:r w:rsidR="000F4491" w:rsidRPr="0060529A">
        <w:rPr>
          <w:color w:val="auto"/>
        </w:rPr>
        <w:t xml:space="preserve"> zone</w:t>
      </w:r>
      <w:r w:rsidR="004B7CBD">
        <w:rPr>
          <w:color w:val="auto"/>
        </w:rPr>
        <w:t xml:space="preserve"> (Hancock</w:t>
      </w:r>
      <w:r w:rsidR="001C4D2C">
        <w:rPr>
          <w:color w:val="auto"/>
        </w:rPr>
        <w:t>,</w:t>
      </w:r>
      <w:r w:rsidR="004B7CBD">
        <w:rPr>
          <w:color w:val="auto"/>
        </w:rPr>
        <w:t xml:space="preserve"> 2002)</w:t>
      </w:r>
      <w:r w:rsidR="000F4491" w:rsidRPr="0060529A">
        <w:rPr>
          <w:color w:val="auto"/>
        </w:rPr>
        <w:t>.</w:t>
      </w:r>
    </w:p>
    <w:p w14:paraId="31C8BC2A" w14:textId="77777777" w:rsidR="006120C6" w:rsidRDefault="006120C6" w:rsidP="006120C6">
      <w:pPr>
        <w:pStyle w:val="BodyText"/>
      </w:pPr>
      <w:r>
        <w:t>The</w:t>
      </w:r>
      <w:r w:rsidRPr="0060529A">
        <w:t xml:space="preserve"> degree of groundwater dependence will occur over a continuum that varies proportionally over space and time</w:t>
      </w:r>
      <w:r w:rsidRPr="0060529A">
        <w:rPr>
          <w:color w:val="auto"/>
        </w:rPr>
        <w:t xml:space="preserve">. It is </w:t>
      </w:r>
      <w:r>
        <w:rPr>
          <w:color w:val="auto"/>
        </w:rPr>
        <w:t>seldom</w:t>
      </w:r>
      <w:r w:rsidRPr="0060529A">
        <w:rPr>
          <w:color w:val="auto"/>
        </w:rPr>
        <w:t xml:space="preserve"> possible to quantify how much groundwater all ecosystems use, or exactly when. </w:t>
      </w:r>
      <w:r>
        <w:rPr>
          <w:color w:val="auto"/>
        </w:rPr>
        <w:t xml:space="preserve">What is required at this stage is </w:t>
      </w:r>
      <w:r w:rsidRPr="0060529A">
        <w:rPr>
          <w:color w:val="auto"/>
        </w:rPr>
        <w:t xml:space="preserve">an indication that the ecosystem </w:t>
      </w:r>
      <w:r w:rsidR="00876890">
        <w:rPr>
          <w:color w:val="auto"/>
        </w:rPr>
        <w:t xml:space="preserve">does </w:t>
      </w:r>
      <w:r w:rsidR="00876890">
        <w:rPr>
          <w:color w:val="auto"/>
        </w:rPr>
        <w:lastRenderedPageBreak/>
        <w:t>use</w:t>
      </w:r>
      <w:r w:rsidRPr="0060529A">
        <w:rPr>
          <w:color w:val="auto"/>
        </w:rPr>
        <w:t xml:space="preserve"> groundwater</w:t>
      </w:r>
      <w:r w:rsidR="001C4D2C">
        <w:rPr>
          <w:color w:val="auto"/>
        </w:rPr>
        <w:t xml:space="preserve"> and its </w:t>
      </w:r>
      <w:r w:rsidR="003E6F39">
        <w:rPr>
          <w:color w:val="auto"/>
        </w:rPr>
        <w:t xml:space="preserve">likely </w:t>
      </w:r>
      <w:r w:rsidR="001C4D2C">
        <w:rPr>
          <w:color w:val="auto"/>
        </w:rPr>
        <w:t>level of dependence</w:t>
      </w:r>
      <w:r w:rsidRPr="0060529A">
        <w:rPr>
          <w:color w:val="auto"/>
        </w:rPr>
        <w:t>, and that isolation of the</w:t>
      </w:r>
      <w:r>
        <w:rPr>
          <w:color w:val="auto"/>
        </w:rPr>
        <w:t xml:space="preserve"> potential</w:t>
      </w:r>
      <w:r w:rsidRPr="0060529A">
        <w:rPr>
          <w:color w:val="auto"/>
        </w:rPr>
        <w:t xml:space="preserve"> GDE from the aquifer </w:t>
      </w:r>
      <w:r w:rsidRPr="0060529A">
        <w:t>will result in significant change</w:t>
      </w:r>
      <w:r>
        <w:t xml:space="preserve"> in ecosystem condition</w:t>
      </w:r>
      <w:r w:rsidRPr="0060529A">
        <w:t xml:space="preserve">. </w:t>
      </w:r>
    </w:p>
    <w:p w14:paraId="31C8BC2B" w14:textId="77777777" w:rsidR="006120C6" w:rsidRDefault="006120C6" w:rsidP="006120C6">
      <w:pPr>
        <w:pStyle w:val="BodyText"/>
        <w:rPr>
          <w:color w:val="auto"/>
        </w:rPr>
      </w:pPr>
      <w:r w:rsidRPr="004840CB">
        <w:rPr>
          <w:color w:val="auto"/>
        </w:rPr>
        <w:t xml:space="preserve">Initial investigations into the </w:t>
      </w:r>
      <w:r>
        <w:rPr>
          <w:color w:val="auto"/>
        </w:rPr>
        <w:t xml:space="preserve">potential </w:t>
      </w:r>
      <w:r w:rsidRPr="004840CB">
        <w:rPr>
          <w:color w:val="auto"/>
        </w:rPr>
        <w:t>reliance of ecosystems on groundwater need to be supported by a longer</w:t>
      </w:r>
      <w:r w:rsidR="003E6F39">
        <w:rPr>
          <w:color w:val="auto"/>
        </w:rPr>
        <w:t>-</w:t>
      </w:r>
      <w:r w:rsidRPr="004840CB">
        <w:rPr>
          <w:color w:val="auto"/>
        </w:rPr>
        <w:t xml:space="preserve">term approach to understanding </w:t>
      </w:r>
      <w:r>
        <w:rPr>
          <w:color w:val="auto"/>
        </w:rPr>
        <w:t>the</w:t>
      </w:r>
      <w:r w:rsidRPr="004840CB">
        <w:rPr>
          <w:color w:val="auto"/>
        </w:rPr>
        <w:t xml:space="preserve"> ecological response to change</w:t>
      </w:r>
      <w:r w:rsidR="00683396">
        <w:rPr>
          <w:color w:val="auto"/>
        </w:rPr>
        <w:t>.</w:t>
      </w:r>
      <w:r w:rsidRPr="004840CB">
        <w:rPr>
          <w:color w:val="auto"/>
        </w:rPr>
        <w:t xml:space="preserve"> </w:t>
      </w:r>
      <w:r w:rsidR="00683396">
        <w:rPr>
          <w:color w:val="auto"/>
        </w:rPr>
        <w:t xml:space="preserve">This can be achieved </w:t>
      </w:r>
      <w:r w:rsidRPr="004840CB">
        <w:rPr>
          <w:color w:val="auto"/>
        </w:rPr>
        <w:t>through targeted monitoring programs designed</w:t>
      </w:r>
      <w:r w:rsidR="00683396">
        <w:rPr>
          <w:color w:val="auto"/>
        </w:rPr>
        <w:t xml:space="preserve"> along causal pathways</w:t>
      </w:r>
      <w:r w:rsidR="00876890">
        <w:rPr>
          <w:color w:val="auto"/>
        </w:rPr>
        <w:t xml:space="preserve"> (</w:t>
      </w:r>
      <w:r w:rsidR="003E6F39">
        <w:rPr>
          <w:color w:val="auto"/>
        </w:rPr>
        <w:t>s</w:t>
      </w:r>
      <w:r w:rsidR="00876890">
        <w:rPr>
          <w:color w:val="auto"/>
        </w:rPr>
        <w:t>ection 3</w:t>
      </w:r>
      <w:r w:rsidR="00F82DBB">
        <w:rPr>
          <w:color w:val="auto"/>
        </w:rPr>
        <w:t>.1</w:t>
      </w:r>
      <w:r w:rsidR="00876890">
        <w:rPr>
          <w:color w:val="auto"/>
        </w:rPr>
        <w:t>)</w:t>
      </w:r>
      <w:r w:rsidR="00683396">
        <w:rPr>
          <w:color w:val="auto"/>
        </w:rPr>
        <w:t>, which</w:t>
      </w:r>
      <w:r w:rsidRPr="004840CB">
        <w:rPr>
          <w:color w:val="auto"/>
        </w:rPr>
        <w:t xml:space="preserve"> test specific hypothes</w:t>
      </w:r>
      <w:r>
        <w:rPr>
          <w:color w:val="auto"/>
        </w:rPr>
        <w:t>e</w:t>
      </w:r>
      <w:r w:rsidRPr="004840CB">
        <w:rPr>
          <w:color w:val="auto"/>
        </w:rPr>
        <w:t xml:space="preserve">s </w:t>
      </w:r>
      <w:r w:rsidR="00683396">
        <w:rPr>
          <w:color w:val="auto"/>
        </w:rPr>
        <w:t xml:space="preserve">of how </w:t>
      </w:r>
      <w:r w:rsidRPr="004840CB">
        <w:rPr>
          <w:color w:val="auto"/>
        </w:rPr>
        <w:t>ecosystem</w:t>
      </w:r>
      <w:r w:rsidR="00683396">
        <w:rPr>
          <w:color w:val="auto"/>
        </w:rPr>
        <w:t>s</w:t>
      </w:r>
      <w:r w:rsidRPr="004840CB">
        <w:rPr>
          <w:color w:val="auto"/>
        </w:rPr>
        <w:t xml:space="preserve"> </w:t>
      </w:r>
      <w:r w:rsidR="00683396">
        <w:rPr>
          <w:color w:val="auto"/>
        </w:rPr>
        <w:t>are affected by changes to the aquifer</w:t>
      </w:r>
      <w:r w:rsidRPr="004840CB">
        <w:rPr>
          <w:color w:val="auto"/>
        </w:rPr>
        <w:t xml:space="preserve"> (</w:t>
      </w:r>
      <w:r>
        <w:rPr>
          <w:color w:val="auto"/>
        </w:rPr>
        <w:t xml:space="preserve">e.g. </w:t>
      </w:r>
      <w:r w:rsidRPr="004840CB">
        <w:rPr>
          <w:color w:val="auto"/>
        </w:rPr>
        <w:t xml:space="preserve">T13 and T14, </w:t>
      </w:r>
      <w:r w:rsidR="00F82DBB">
        <w:rPr>
          <w:color w:val="auto"/>
        </w:rPr>
        <w:fldChar w:fldCharType="begin"/>
      </w:r>
      <w:r w:rsidR="00F82DBB">
        <w:rPr>
          <w:color w:val="auto"/>
        </w:rPr>
        <w:instrText xml:space="preserve"> REF _Ref509649878 \h </w:instrText>
      </w:r>
      <w:r w:rsidR="00F82DBB">
        <w:rPr>
          <w:color w:val="auto"/>
        </w:rPr>
      </w:r>
      <w:r w:rsidR="00F82DBB">
        <w:rPr>
          <w:color w:val="auto"/>
        </w:rPr>
        <w:fldChar w:fldCharType="separate"/>
      </w:r>
      <w:r w:rsidR="00E96B43">
        <w:t xml:space="preserve">Table </w:t>
      </w:r>
      <w:r w:rsidR="00E96B43">
        <w:rPr>
          <w:noProof/>
        </w:rPr>
        <w:t>2</w:t>
      </w:r>
      <w:r w:rsidR="00F82DBB">
        <w:rPr>
          <w:color w:val="auto"/>
        </w:rPr>
        <w:fldChar w:fldCharType="end"/>
      </w:r>
      <w:r w:rsidR="00F82DBB">
        <w:rPr>
          <w:color w:val="auto"/>
        </w:rPr>
        <w:t xml:space="preserve">; </w:t>
      </w:r>
      <w:r>
        <w:rPr>
          <w:color w:val="auto"/>
        </w:rPr>
        <w:fldChar w:fldCharType="begin"/>
      </w:r>
      <w:r>
        <w:rPr>
          <w:color w:val="auto"/>
        </w:rPr>
        <w:instrText xml:space="preserve"> REF _Ref507707870 \h </w:instrText>
      </w:r>
      <w:r>
        <w:rPr>
          <w:color w:val="auto"/>
        </w:rPr>
      </w:r>
      <w:r>
        <w:rPr>
          <w:color w:val="auto"/>
        </w:rPr>
        <w:fldChar w:fldCharType="separate"/>
      </w:r>
      <w:r w:rsidR="00E96B43">
        <w:t xml:space="preserve">App Table </w:t>
      </w:r>
      <w:r w:rsidR="00E96B43">
        <w:rPr>
          <w:noProof/>
        </w:rPr>
        <w:t>2</w:t>
      </w:r>
      <w:r>
        <w:rPr>
          <w:color w:val="auto"/>
        </w:rPr>
        <w:fldChar w:fldCharType="end"/>
      </w:r>
      <w:r w:rsidRPr="004840CB">
        <w:rPr>
          <w:color w:val="auto"/>
        </w:rPr>
        <w:t>).</w:t>
      </w:r>
      <w:r w:rsidR="005140FA" w:rsidRPr="005140FA">
        <w:rPr>
          <w:color w:val="auto"/>
        </w:rPr>
        <w:t xml:space="preserve"> </w:t>
      </w:r>
      <w:r w:rsidR="005140FA" w:rsidRPr="005A4714">
        <w:rPr>
          <w:color w:val="auto"/>
        </w:rPr>
        <w:t xml:space="preserve">CASE STUDY </w:t>
      </w:r>
      <w:r w:rsidR="005A4714" w:rsidRPr="005A4714">
        <w:rPr>
          <w:color w:val="auto"/>
        </w:rPr>
        <w:t>5</w:t>
      </w:r>
      <w:r w:rsidR="005140FA">
        <w:rPr>
          <w:color w:val="auto"/>
        </w:rPr>
        <w:t xml:space="preserve"> pre</w:t>
      </w:r>
      <w:r w:rsidR="00F37E53">
        <w:rPr>
          <w:color w:val="auto"/>
        </w:rPr>
        <w:t>sents an example of long</w:t>
      </w:r>
      <w:r w:rsidR="003E6F39">
        <w:rPr>
          <w:color w:val="auto"/>
        </w:rPr>
        <w:t>-</w:t>
      </w:r>
      <w:r w:rsidR="005140FA">
        <w:rPr>
          <w:color w:val="auto"/>
        </w:rPr>
        <w:t>term monitoring of ecosystem response to change in groundwater conditions (T13).</w:t>
      </w:r>
    </w:p>
    <w:p w14:paraId="31C8BC2C" w14:textId="77777777" w:rsidR="000B6643" w:rsidRDefault="000B6643" w:rsidP="006120C6">
      <w:pPr>
        <w:pStyle w:val="BodyText"/>
      </w:pPr>
      <w:r>
        <w:t xml:space="preserve">It is important to return to </w:t>
      </w:r>
      <w:r w:rsidR="00F82DBB">
        <w:t>s</w:t>
      </w:r>
      <w:r>
        <w:t xml:space="preserve">ection 3.1 at this stage to ensure </w:t>
      </w:r>
      <w:r w:rsidR="003E6F39">
        <w:t xml:space="preserve">all </w:t>
      </w:r>
      <w:r>
        <w:t xml:space="preserve">causal pathways </w:t>
      </w:r>
      <w:r w:rsidR="003E6F39">
        <w:t xml:space="preserve">likely </w:t>
      </w:r>
      <w:r>
        <w:t>to impact on the GDEs are identified and documented.</w:t>
      </w:r>
      <w:r w:rsidR="00F37E53">
        <w:t xml:space="preserve"> Conceptual models should also be updated.</w:t>
      </w:r>
    </w:p>
    <w:p w14:paraId="31C8BC2D" w14:textId="77777777" w:rsidR="000B6643" w:rsidRDefault="000B6643" w:rsidP="000B6643">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t xml:space="preserve">RECOMMENDATION: </w:t>
      </w:r>
      <w:r w:rsidR="003E6F39">
        <w:t>Assess ecological water requirements of GDEs and use these to confirm</w:t>
      </w:r>
      <w:r>
        <w:t xml:space="preserve"> ca</w:t>
      </w:r>
      <w:r w:rsidR="006607B2">
        <w:t>u</w:t>
      </w:r>
      <w:r>
        <w:t xml:space="preserve">sal pathways </w:t>
      </w:r>
      <w:r w:rsidR="003E6F39">
        <w:t xml:space="preserve">(section 3.1) </w:t>
      </w:r>
      <w:r>
        <w:t xml:space="preserve">that </w:t>
      </w:r>
      <w:r w:rsidR="001D08E6">
        <w:t>may</w:t>
      </w:r>
      <w:r>
        <w:t xml:space="preserve"> create a change in GDE status through </w:t>
      </w:r>
      <w:r w:rsidR="001D08E6">
        <w:t>altered</w:t>
      </w:r>
      <w:r w:rsidR="006607B2">
        <w:t xml:space="preserve"> groundwater regimes.</w:t>
      </w:r>
      <w:r w:rsidR="002B433A">
        <w:t xml:space="preserve"> Use multiple lines of </w:t>
      </w:r>
      <w:r w:rsidR="00E8000A">
        <w:t>evidence</w:t>
      </w:r>
      <w:r w:rsidR="002B433A">
        <w:t xml:space="preserve"> to determine groundwater dependence where possible.</w:t>
      </w:r>
    </w:p>
    <w:p w14:paraId="31C8BC2E" w14:textId="77777777" w:rsidR="00A710B8" w:rsidRDefault="00A710B8" w:rsidP="002B433A">
      <w:pPr>
        <w:pStyle w:val="ListNumber"/>
        <w:numPr>
          <w:ilvl w:val="0"/>
          <w:numId w:val="0"/>
        </w:numPr>
        <w:ind w:left="397" w:hanging="397"/>
        <w:rPr>
          <w:b/>
          <w:noProof/>
        </w:rPr>
      </w:pPr>
    </w:p>
    <w:p w14:paraId="31C8BC2F" w14:textId="77777777" w:rsidR="00C8622B" w:rsidRPr="008C783E" w:rsidRDefault="005A2255" w:rsidP="002B433A">
      <w:pPr>
        <w:pStyle w:val="ListNumber"/>
        <w:numPr>
          <w:ilvl w:val="0"/>
          <w:numId w:val="0"/>
        </w:numPr>
        <w:ind w:left="397" w:hanging="397"/>
        <w:rPr>
          <w:noProof/>
        </w:rPr>
      </w:pPr>
      <w:r w:rsidRPr="002B433A">
        <w:rPr>
          <w:b/>
          <w:noProof/>
        </w:rPr>
        <w:t xml:space="preserve">CASE STUDY </w:t>
      </w:r>
      <w:r w:rsidR="002B433A" w:rsidRPr="002B433A">
        <w:rPr>
          <w:b/>
          <w:noProof/>
        </w:rPr>
        <w:t>3:</w:t>
      </w:r>
      <w:r w:rsidR="002B433A">
        <w:rPr>
          <w:noProof/>
        </w:rPr>
        <w:t xml:space="preserve"> </w:t>
      </w:r>
      <w:r w:rsidR="002B433A" w:rsidRPr="002B433A">
        <w:rPr>
          <w:i/>
          <w:noProof/>
          <w:u w:val="single"/>
        </w:rPr>
        <w:t>Landsat r</w:t>
      </w:r>
      <w:r w:rsidR="00C8622B" w:rsidRPr="002B433A">
        <w:rPr>
          <w:i/>
          <w:noProof/>
          <w:u w:val="single"/>
        </w:rPr>
        <w:t>emote sensing delineation of GDEs</w:t>
      </w:r>
    </w:p>
    <w:p w14:paraId="31C8BC30" w14:textId="77777777" w:rsidR="00C8622B" w:rsidRPr="00C8622B" w:rsidRDefault="00C8622B" w:rsidP="00C8622B">
      <w:pPr>
        <w:pStyle w:val="BodyText"/>
        <w:rPr>
          <w:i/>
          <w:noProof/>
        </w:rPr>
      </w:pPr>
      <w:r w:rsidRPr="00C8622B">
        <w:rPr>
          <w:i/>
          <w:noProof/>
        </w:rPr>
        <w:t>Remote sensing provides a broad</w:t>
      </w:r>
      <w:r w:rsidR="003E6F39">
        <w:rPr>
          <w:i/>
          <w:noProof/>
        </w:rPr>
        <w:t>-</w:t>
      </w:r>
      <w:r w:rsidRPr="00C8622B">
        <w:rPr>
          <w:i/>
          <w:noProof/>
        </w:rPr>
        <w:t>scale, fine</w:t>
      </w:r>
      <w:r w:rsidR="003E6F39">
        <w:rPr>
          <w:i/>
          <w:noProof/>
        </w:rPr>
        <w:t>-</w:t>
      </w:r>
      <w:r w:rsidRPr="00C8622B">
        <w:rPr>
          <w:i/>
          <w:noProof/>
        </w:rPr>
        <w:t>resolution and temporal ability to map GDEs. Landsat imagery is especially suitable with a long, freely accessible global archive and spatial resolution of 30</w:t>
      </w:r>
      <w:r w:rsidR="003E6F39">
        <w:rPr>
          <w:i/>
          <w:noProof/>
        </w:rPr>
        <w:t xml:space="preserve"> </w:t>
      </w:r>
      <w:r w:rsidRPr="00C8622B">
        <w:rPr>
          <w:i/>
          <w:noProof/>
        </w:rPr>
        <w:t>m. Multi-spectral indices such as NDVI (Normalised Difference Vegetation Index) and NDWI (Normalised Difference Wetness Index) are ideal to track changes in vegetation green</w:t>
      </w:r>
      <w:r w:rsidR="003E6F39">
        <w:rPr>
          <w:i/>
          <w:noProof/>
        </w:rPr>
        <w:t>n</w:t>
      </w:r>
      <w:r w:rsidRPr="00C8622B">
        <w:rPr>
          <w:i/>
          <w:noProof/>
        </w:rPr>
        <w:t>ess and wetness, respectively. In combination, they can be used to map GDEs by defining vegetation status over prolonged dry periods. It is expected that vegetation dependent on groundwater (phreatophytes) will maintain higher gree</w:t>
      </w:r>
      <w:r w:rsidR="003E6F39">
        <w:rPr>
          <w:i/>
          <w:noProof/>
        </w:rPr>
        <w:t>n</w:t>
      </w:r>
      <w:r w:rsidRPr="00C8622B">
        <w:rPr>
          <w:i/>
          <w:noProof/>
        </w:rPr>
        <w:t>ness over extended dry periods as well as higher surface water content related to increased water availability in comparison to dryland</w:t>
      </w:r>
      <w:r w:rsidR="000B6643">
        <w:rPr>
          <w:i/>
          <w:noProof/>
        </w:rPr>
        <w:t>,</w:t>
      </w:r>
      <w:r w:rsidRPr="00C8622B">
        <w:rPr>
          <w:i/>
          <w:noProof/>
        </w:rPr>
        <w:t xml:space="preserve"> rainfall</w:t>
      </w:r>
      <w:r w:rsidR="00104F89">
        <w:rPr>
          <w:i/>
          <w:noProof/>
        </w:rPr>
        <w:t>-</w:t>
      </w:r>
      <w:r w:rsidRPr="00C8622B">
        <w:rPr>
          <w:i/>
          <w:noProof/>
        </w:rPr>
        <w:t xml:space="preserve">dependent xeric vegetation. </w:t>
      </w:r>
    </w:p>
    <w:p w14:paraId="31C8BC31" w14:textId="77777777" w:rsidR="00C8622B" w:rsidRDefault="004917B2" w:rsidP="00C8622B">
      <w:pPr>
        <w:pStyle w:val="BodyText"/>
        <w:rPr>
          <w:i/>
        </w:rPr>
      </w:pPr>
      <w:r w:rsidRPr="00C8622B">
        <w:rPr>
          <w:i/>
          <w:noProof/>
        </w:rPr>
        <w:drawing>
          <wp:anchor distT="0" distB="0" distL="114300" distR="114300" simplePos="0" relativeHeight="251899392" behindDoc="1" locked="0" layoutInCell="1" allowOverlap="1" wp14:anchorId="31C8C2F0" wp14:editId="31C8C2F1">
            <wp:simplePos x="0" y="0"/>
            <wp:positionH relativeFrom="margin">
              <wp:posOffset>2708910</wp:posOffset>
            </wp:positionH>
            <wp:positionV relativeFrom="paragraph">
              <wp:posOffset>83185</wp:posOffset>
            </wp:positionV>
            <wp:extent cx="3923030" cy="3058795"/>
            <wp:effectExtent l="19050" t="19050" r="20320" b="27305"/>
            <wp:wrapThrough wrapText="bothSides">
              <wp:wrapPolygon edited="0">
                <wp:start x="-105" y="-135"/>
                <wp:lineTo x="-105" y="21658"/>
                <wp:lineTo x="21607" y="21658"/>
                <wp:lineTo x="21607" y="-135"/>
                <wp:lineTo x="-105" y="-135"/>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7"/>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923030" cy="305879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C8622B" w:rsidRPr="00C8622B">
        <w:rPr>
          <w:i/>
          <w:noProof/>
        </w:rPr>
        <w:t xml:space="preserve">A study undertaken in the south-west of Western Australia identified GDEs using NDVI and NDWI (Barron et al., 2012) in a Mediterranean climate with hot dry summers. </w:t>
      </w:r>
      <w:r w:rsidR="00104F89">
        <w:rPr>
          <w:i/>
          <w:noProof/>
        </w:rPr>
        <w:t>From field assessments,</w:t>
      </w:r>
      <w:r w:rsidR="00104F89" w:rsidRPr="00C8622B">
        <w:rPr>
          <w:i/>
          <w:noProof/>
        </w:rPr>
        <w:t xml:space="preserve"> </w:t>
      </w:r>
      <w:r w:rsidR="00104F89">
        <w:rPr>
          <w:i/>
          <w:noProof/>
        </w:rPr>
        <w:t>a</w:t>
      </w:r>
      <w:r w:rsidR="00C8622B" w:rsidRPr="00C8622B">
        <w:rPr>
          <w:i/>
          <w:noProof/>
        </w:rPr>
        <w:t xml:space="preserve"> number of GDEs were known to be associated with localised groundwater, diffuse discharge zones and riparian veg</w:t>
      </w:r>
      <w:r w:rsidR="000B6643">
        <w:rPr>
          <w:i/>
          <w:noProof/>
        </w:rPr>
        <w:t xml:space="preserve">etation. </w:t>
      </w:r>
      <w:r w:rsidR="00C8622B" w:rsidRPr="00C8622B">
        <w:rPr>
          <w:i/>
          <w:noProof/>
        </w:rPr>
        <w:t>The study was founded on the theory that due to limited rainfall over a six</w:t>
      </w:r>
      <w:r w:rsidR="00104F89">
        <w:rPr>
          <w:i/>
          <w:noProof/>
        </w:rPr>
        <w:t>-</w:t>
      </w:r>
      <w:r w:rsidR="000B6643">
        <w:rPr>
          <w:i/>
          <w:noProof/>
        </w:rPr>
        <w:t xml:space="preserve">to </w:t>
      </w:r>
      <w:r w:rsidR="00C8622B" w:rsidRPr="00C8622B">
        <w:rPr>
          <w:i/>
          <w:noProof/>
        </w:rPr>
        <w:t>seven</w:t>
      </w:r>
      <w:r w:rsidR="00104F89">
        <w:rPr>
          <w:i/>
          <w:noProof/>
        </w:rPr>
        <w:t>-</w:t>
      </w:r>
      <w:r w:rsidR="00C8622B" w:rsidRPr="00C8622B">
        <w:rPr>
          <w:i/>
          <w:noProof/>
        </w:rPr>
        <w:t>month period, soil mois</w:t>
      </w:r>
      <w:r w:rsidR="000B6643">
        <w:rPr>
          <w:i/>
          <w:noProof/>
        </w:rPr>
        <w:t>tu</w:t>
      </w:r>
      <w:r w:rsidR="00C8622B" w:rsidRPr="00C8622B">
        <w:rPr>
          <w:i/>
          <w:noProof/>
        </w:rPr>
        <w:t>re stores would be depleted and areas that maintained constant gree</w:t>
      </w:r>
      <w:r w:rsidR="00104F89">
        <w:rPr>
          <w:i/>
          <w:noProof/>
        </w:rPr>
        <w:t>n</w:t>
      </w:r>
      <w:r w:rsidR="00C8622B" w:rsidRPr="00C8622B">
        <w:rPr>
          <w:i/>
          <w:noProof/>
        </w:rPr>
        <w:t>ness and high surface moisture (wetness) were</w:t>
      </w:r>
      <w:r w:rsidR="000B6643">
        <w:rPr>
          <w:i/>
          <w:noProof/>
        </w:rPr>
        <w:t xml:space="preserve"> indicators that vegetati</w:t>
      </w:r>
      <w:r w:rsidR="00104F89">
        <w:rPr>
          <w:i/>
          <w:noProof/>
        </w:rPr>
        <w:t>o</w:t>
      </w:r>
      <w:r w:rsidR="000B6643">
        <w:rPr>
          <w:i/>
          <w:noProof/>
        </w:rPr>
        <w:t>n were</w:t>
      </w:r>
      <w:r w:rsidR="00C8622B" w:rsidRPr="00C8622B">
        <w:rPr>
          <w:i/>
          <w:noProof/>
        </w:rPr>
        <w:t xml:space="preserve"> likely to have access to groundwater. The research identi</w:t>
      </w:r>
      <w:r w:rsidR="00104F89">
        <w:rPr>
          <w:i/>
          <w:noProof/>
        </w:rPr>
        <w:t>fi</w:t>
      </w:r>
      <w:r w:rsidR="00C8622B" w:rsidRPr="00C8622B">
        <w:rPr>
          <w:i/>
          <w:noProof/>
        </w:rPr>
        <w:t xml:space="preserve">ed two land cover classes (CL) of GDEs, two classes of non-GDEs </w:t>
      </w:r>
      <w:r w:rsidR="000B6643">
        <w:rPr>
          <w:i/>
          <w:noProof/>
        </w:rPr>
        <w:t xml:space="preserve">and a </w:t>
      </w:r>
      <w:r w:rsidR="00C8622B" w:rsidRPr="00C8622B">
        <w:rPr>
          <w:i/>
          <w:noProof/>
        </w:rPr>
        <w:t>class</w:t>
      </w:r>
      <w:r w:rsidR="000B6643">
        <w:rPr>
          <w:i/>
          <w:noProof/>
        </w:rPr>
        <w:t xml:space="preserve"> which</w:t>
      </w:r>
      <w:r w:rsidR="00C8622B" w:rsidRPr="00C8622B">
        <w:rPr>
          <w:i/>
          <w:noProof/>
        </w:rPr>
        <w:t xml:space="preserve"> identified open water bodies. All classes are shown in the associated map, where CL1 </w:t>
      </w:r>
      <w:r w:rsidR="00104F89">
        <w:rPr>
          <w:i/>
          <w:noProof/>
        </w:rPr>
        <w:t>contains</w:t>
      </w:r>
      <w:r w:rsidR="00104F89" w:rsidRPr="00C8622B">
        <w:rPr>
          <w:i/>
          <w:noProof/>
        </w:rPr>
        <w:t xml:space="preserve"> </w:t>
      </w:r>
      <w:r w:rsidR="00C8622B" w:rsidRPr="00C8622B">
        <w:rPr>
          <w:i/>
          <w:noProof/>
        </w:rPr>
        <w:t>GDEs with permanent access to water (high green</w:t>
      </w:r>
      <w:r w:rsidR="00104F89">
        <w:rPr>
          <w:i/>
          <w:noProof/>
        </w:rPr>
        <w:t>n</w:t>
      </w:r>
      <w:r w:rsidR="00C8622B" w:rsidRPr="00C8622B">
        <w:rPr>
          <w:i/>
          <w:noProof/>
        </w:rPr>
        <w:t xml:space="preserve">ess and wetness); </w:t>
      </w:r>
      <w:r w:rsidR="00104F89">
        <w:rPr>
          <w:i/>
          <w:noProof/>
        </w:rPr>
        <w:t xml:space="preserve">GDEs in </w:t>
      </w:r>
      <w:r w:rsidR="00C8622B" w:rsidRPr="00C8622B">
        <w:rPr>
          <w:i/>
          <w:noProof/>
        </w:rPr>
        <w:t xml:space="preserve">CL2 have reduced access to </w:t>
      </w:r>
      <w:r w:rsidR="00104F89">
        <w:rPr>
          <w:i/>
          <w:noProof/>
        </w:rPr>
        <w:t>groundwater</w:t>
      </w:r>
      <w:r w:rsidR="00104F89" w:rsidRPr="00C8622B">
        <w:rPr>
          <w:i/>
          <w:noProof/>
        </w:rPr>
        <w:t xml:space="preserve"> </w:t>
      </w:r>
      <w:r w:rsidR="00C8622B" w:rsidRPr="00C8622B">
        <w:rPr>
          <w:i/>
          <w:noProof/>
        </w:rPr>
        <w:t>but remain green over</w:t>
      </w:r>
      <w:r w:rsidR="000B6643">
        <w:rPr>
          <w:i/>
          <w:noProof/>
        </w:rPr>
        <w:t xml:space="preserve"> a</w:t>
      </w:r>
      <w:r w:rsidR="00C8622B" w:rsidRPr="00C8622B">
        <w:rPr>
          <w:i/>
          <w:noProof/>
        </w:rPr>
        <w:t xml:space="preserve"> long dry period (slow</w:t>
      </w:r>
      <w:r w:rsidR="00104F89">
        <w:rPr>
          <w:i/>
          <w:noProof/>
        </w:rPr>
        <w:t>-</w:t>
      </w:r>
      <w:r w:rsidR="00C8622B" w:rsidRPr="00C8622B">
        <w:rPr>
          <w:i/>
          <w:noProof/>
        </w:rPr>
        <w:t xml:space="preserve">drying GDEs); CL3 </w:t>
      </w:r>
      <w:r w:rsidR="00104F89">
        <w:rPr>
          <w:i/>
          <w:noProof/>
        </w:rPr>
        <w:t xml:space="preserve">ecosystems </w:t>
      </w:r>
      <w:r w:rsidR="00C8622B" w:rsidRPr="00C8622B">
        <w:rPr>
          <w:i/>
          <w:noProof/>
        </w:rPr>
        <w:t xml:space="preserve">have no </w:t>
      </w:r>
      <w:r w:rsidR="00104F89">
        <w:rPr>
          <w:i/>
          <w:noProof/>
        </w:rPr>
        <w:t>groundwater</w:t>
      </w:r>
      <w:r w:rsidR="00104F89" w:rsidRPr="00C8622B">
        <w:rPr>
          <w:i/>
          <w:noProof/>
        </w:rPr>
        <w:t xml:space="preserve"> </w:t>
      </w:r>
      <w:r w:rsidR="00C8622B" w:rsidRPr="00C8622B">
        <w:rPr>
          <w:i/>
          <w:noProof/>
        </w:rPr>
        <w:t xml:space="preserve">connection and hence </w:t>
      </w:r>
      <w:r w:rsidR="000B6643">
        <w:rPr>
          <w:i/>
          <w:noProof/>
        </w:rPr>
        <w:t>are not</w:t>
      </w:r>
      <w:r w:rsidR="00C8622B" w:rsidRPr="00C8622B">
        <w:rPr>
          <w:i/>
          <w:noProof/>
        </w:rPr>
        <w:t xml:space="preserve"> GDEs </w:t>
      </w:r>
      <w:r w:rsidR="000B6643">
        <w:rPr>
          <w:i/>
          <w:noProof/>
        </w:rPr>
        <w:t>in</w:t>
      </w:r>
      <w:r w:rsidR="00C8622B" w:rsidRPr="00C8622B">
        <w:rPr>
          <w:i/>
          <w:noProof/>
        </w:rPr>
        <w:t xml:space="preserve"> a fast</w:t>
      </w:r>
      <w:r w:rsidR="00104F89">
        <w:rPr>
          <w:i/>
          <w:noProof/>
        </w:rPr>
        <w:t>-</w:t>
      </w:r>
      <w:r w:rsidR="00C8622B" w:rsidRPr="00C8622B">
        <w:rPr>
          <w:i/>
          <w:noProof/>
        </w:rPr>
        <w:t>drying landscape; CL4 highlights open water bodies (GDEs) where wetness is high but green</w:t>
      </w:r>
      <w:r w:rsidR="00104F89">
        <w:rPr>
          <w:i/>
          <w:noProof/>
        </w:rPr>
        <w:t>n</w:t>
      </w:r>
      <w:r w:rsidR="00C8622B" w:rsidRPr="00C8622B">
        <w:rPr>
          <w:i/>
          <w:noProof/>
        </w:rPr>
        <w:t>ess is low; and CL5 shows areas of low green</w:t>
      </w:r>
      <w:r w:rsidR="00104F89">
        <w:rPr>
          <w:i/>
          <w:noProof/>
        </w:rPr>
        <w:t>n</w:t>
      </w:r>
      <w:r w:rsidR="00C8622B" w:rsidRPr="00C8622B">
        <w:rPr>
          <w:i/>
          <w:noProof/>
        </w:rPr>
        <w:t xml:space="preserve">ess which are not GDEs. The mapping demonstrated good agreement with </w:t>
      </w:r>
      <w:r w:rsidR="00104F89">
        <w:rPr>
          <w:i/>
          <w:noProof/>
        </w:rPr>
        <w:t>field</w:t>
      </w:r>
      <w:r w:rsidR="00C8622B" w:rsidRPr="00C8622B">
        <w:rPr>
          <w:i/>
          <w:noProof/>
        </w:rPr>
        <w:t xml:space="preserve"> data where GDEs were associated with springs, riparian vegetation along perennial rivers, break-of-slope seepage zones and terrestrial vegetation with access to shallow groundwater.</w:t>
      </w:r>
      <w:r w:rsidR="00C8622B" w:rsidRPr="00C8622B">
        <w:rPr>
          <w:i/>
        </w:rPr>
        <w:t xml:space="preserve">  </w:t>
      </w:r>
    </w:p>
    <w:p w14:paraId="31C8BC32" w14:textId="77777777" w:rsidR="001D6DC5" w:rsidRPr="001D6DC5" w:rsidRDefault="001D6DC5" w:rsidP="001D6DC5">
      <w:pPr>
        <w:pStyle w:val="BodyText"/>
      </w:pPr>
    </w:p>
    <w:p w14:paraId="31C8BC33" w14:textId="77777777" w:rsidR="005140FA" w:rsidRPr="000C2688" w:rsidRDefault="005140FA" w:rsidP="000C2688">
      <w:pPr>
        <w:pStyle w:val="ListNumber"/>
        <w:numPr>
          <w:ilvl w:val="0"/>
          <w:numId w:val="0"/>
        </w:numPr>
        <w:ind w:left="397" w:hanging="397"/>
        <w:rPr>
          <w:i/>
          <w:noProof/>
          <w:u w:val="single"/>
        </w:rPr>
      </w:pPr>
      <w:r w:rsidRPr="000C2688">
        <w:rPr>
          <w:b/>
          <w:noProof/>
        </w:rPr>
        <w:lastRenderedPageBreak/>
        <w:t xml:space="preserve">CASE STUDY </w:t>
      </w:r>
      <w:r w:rsidR="000C2688" w:rsidRPr="000C2688">
        <w:rPr>
          <w:b/>
          <w:noProof/>
        </w:rPr>
        <w:t>4</w:t>
      </w:r>
      <w:r w:rsidRPr="000C2688">
        <w:rPr>
          <w:b/>
          <w:noProof/>
        </w:rPr>
        <w:t>:</w:t>
      </w:r>
      <w:r>
        <w:rPr>
          <w:noProof/>
        </w:rPr>
        <w:t xml:space="preserve"> </w:t>
      </w:r>
      <w:r w:rsidRPr="000C2688">
        <w:rPr>
          <w:i/>
          <w:noProof/>
          <w:u w:val="single"/>
        </w:rPr>
        <w:t>Environmental DNA (eDNA)</w:t>
      </w:r>
    </w:p>
    <w:p w14:paraId="31C8BC34" w14:textId="77777777" w:rsidR="005140FA" w:rsidRPr="001C2A55" w:rsidRDefault="005140FA" w:rsidP="005140FA">
      <w:pPr>
        <w:pStyle w:val="BodyText"/>
        <w:rPr>
          <w:i/>
        </w:rPr>
      </w:pPr>
      <w:r w:rsidRPr="001C2A55">
        <w:rPr>
          <w:i/>
        </w:rPr>
        <w:t>Environmental DNA (</w:t>
      </w:r>
      <w:proofErr w:type="spellStart"/>
      <w:proofErr w:type="gramStart"/>
      <w:r w:rsidRPr="001C2A55">
        <w:rPr>
          <w:i/>
        </w:rPr>
        <w:t>eDNA</w:t>
      </w:r>
      <w:proofErr w:type="spellEnd"/>
      <w:proofErr w:type="gramEnd"/>
      <w:r w:rsidRPr="001C2A55">
        <w:rPr>
          <w:i/>
        </w:rPr>
        <w:t>) is the DNA released by organisms as they move through the environment. The DNA of a range of aquatic organisms can be detected in water samples at very low concentrations. In aquatic environments</w:t>
      </w:r>
      <w:r w:rsidR="00104F89">
        <w:rPr>
          <w:i/>
        </w:rPr>
        <w:t>,</w:t>
      </w:r>
      <w:r w:rsidRPr="001C2A55">
        <w:rPr>
          <w:i/>
        </w:rPr>
        <w:t xml:space="preserve"> </w:t>
      </w:r>
      <w:proofErr w:type="spellStart"/>
      <w:proofErr w:type="gramStart"/>
      <w:r w:rsidRPr="001C2A55">
        <w:rPr>
          <w:i/>
        </w:rPr>
        <w:t>eDNA</w:t>
      </w:r>
      <w:proofErr w:type="spellEnd"/>
      <w:proofErr w:type="gramEnd"/>
      <w:r w:rsidRPr="001C2A55">
        <w:rPr>
          <w:i/>
        </w:rPr>
        <w:t xml:space="preserve"> is diluted and distributed in water where it can persist for </w:t>
      </w:r>
      <w:r w:rsidR="00BC3FA5">
        <w:rPr>
          <w:i/>
        </w:rPr>
        <w:t>one</w:t>
      </w:r>
      <w:r w:rsidRPr="001C2A55">
        <w:rPr>
          <w:i/>
        </w:rPr>
        <w:t xml:space="preserve"> to </w:t>
      </w:r>
      <w:r w:rsidR="00BC3FA5">
        <w:rPr>
          <w:i/>
        </w:rPr>
        <w:t>three weeks</w:t>
      </w:r>
      <w:r w:rsidR="00104F89">
        <w:rPr>
          <w:i/>
        </w:rPr>
        <w:t>;</w:t>
      </w:r>
      <w:r w:rsidR="00BC3FA5">
        <w:rPr>
          <w:i/>
        </w:rPr>
        <w:t xml:space="preserve"> however, </w:t>
      </w:r>
      <w:r w:rsidRPr="001C2A55">
        <w:rPr>
          <w:i/>
        </w:rPr>
        <w:t>once trapped in sediments, the DNA can be preserved for thousands of years.</w:t>
      </w:r>
    </w:p>
    <w:p w14:paraId="31C8BC35" w14:textId="77777777" w:rsidR="005140FA" w:rsidRPr="001C2A55" w:rsidRDefault="005140FA" w:rsidP="005140FA">
      <w:pPr>
        <w:pStyle w:val="BodyText"/>
        <w:rPr>
          <w:i/>
        </w:rPr>
      </w:pPr>
      <w:r w:rsidRPr="001C2A55">
        <w:rPr>
          <w:i/>
        </w:rPr>
        <w:t>Large</w:t>
      </w:r>
      <w:r w:rsidR="00104F89">
        <w:rPr>
          <w:i/>
        </w:rPr>
        <w:t>-</w:t>
      </w:r>
      <w:r w:rsidRPr="001C2A55">
        <w:rPr>
          <w:i/>
        </w:rPr>
        <w:t>scale assessment of groundwater ecosystems has typically been based on assessment of the presence of obligate groundwater invertebrates (stygofauna)</w:t>
      </w:r>
      <w:r w:rsidR="00104F89">
        <w:rPr>
          <w:i/>
        </w:rPr>
        <w:t>. H</w:t>
      </w:r>
      <w:r w:rsidRPr="001C2A55">
        <w:rPr>
          <w:i/>
        </w:rPr>
        <w:t>owever, these represent a very small portion of the ecosystem diversity</w:t>
      </w:r>
      <w:r w:rsidR="00104F89">
        <w:rPr>
          <w:i/>
        </w:rPr>
        <w:t>, and t</w:t>
      </w:r>
      <w:r w:rsidRPr="001C2A55">
        <w:rPr>
          <w:i/>
        </w:rPr>
        <w:t xml:space="preserve">he microbial component of the aquifer ecosystem is responsible for the key ecosystem functions relating to water quality. </w:t>
      </w:r>
      <w:r w:rsidR="00104F89">
        <w:rPr>
          <w:i/>
        </w:rPr>
        <w:t xml:space="preserve">Using </w:t>
      </w:r>
      <w:proofErr w:type="spellStart"/>
      <w:proofErr w:type="gramStart"/>
      <w:r w:rsidRPr="001C2A55">
        <w:rPr>
          <w:i/>
        </w:rPr>
        <w:t>eDNA</w:t>
      </w:r>
      <w:proofErr w:type="spellEnd"/>
      <w:proofErr w:type="gramEnd"/>
      <w:r w:rsidRPr="001C2A55">
        <w:rPr>
          <w:i/>
        </w:rPr>
        <w:t xml:space="preserve"> provides an opportunity to rapidly identify a more representative suite of microorganisms that exist within an aquifer.</w:t>
      </w:r>
    </w:p>
    <w:p w14:paraId="31C8BC36" w14:textId="77777777" w:rsidR="005140FA" w:rsidRDefault="005140FA" w:rsidP="005140FA">
      <w:pPr>
        <w:pStyle w:val="BodyText"/>
        <w:rPr>
          <w:i/>
        </w:rPr>
      </w:pPr>
      <w:r w:rsidRPr="001C2A55">
        <w:rPr>
          <w:i/>
        </w:rPr>
        <w:t xml:space="preserve">Advances in </w:t>
      </w:r>
      <w:proofErr w:type="spellStart"/>
      <w:proofErr w:type="gramStart"/>
      <w:r w:rsidRPr="001C2A55">
        <w:rPr>
          <w:i/>
        </w:rPr>
        <w:t>eDNA</w:t>
      </w:r>
      <w:proofErr w:type="spellEnd"/>
      <w:proofErr w:type="gramEnd"/>
      <w:r w:rsidRPr="001C2A55">
        <w:rPr>
          <w:i/>
        </w:rPr>
        <w:t xml:space="preserve"> processing will continue to improve </w:t>
      </w:r>
      <w:r w:rsidR="00104F89">
        <w:rPr>
          <w:i/>
        </w:rPr>
        <w:t>the capacity</w:t>
      </w:r>
      <w:r w:rsidR="00104F89" w:rsidRPr="001C2A55">
        <w:rPr>
          <w:i/>
        </w:rPr>
        <w:t xml:space="preserve"> </w:t>
      </w:r>
      <w:r w:rsidRPr="001C2A55">
        <w:rPr>
          <w:i/>
        </w:rPr>
        <w:t>to identify the presence of a range of microorganisms within an aquifer</w:t>
      </w:r>
      <w:r w:rsidR="00104F89">
        <w:rPr>
          <w:i/>
        </w:rPr>
        <w:t>,</w:t>
      </w:r>
      <w:r w:rsidRPr="001C2A55">
        <w:rPr>
          <w:i/>
        </w:rPr>
        <w:t xml:space="preserve"> and to map and monitor the distribution of endangered, rare (e.g. </w:t>
      </w:r>
      <w:proofErr w:type="spellStart"/>
      <w:r w:rsidRPr="001C2A55">
        <w:rPr>
          <w:i/>
        </w:rPr>
        <w:t>Gorički</w:t>
      </w:r>
      <w:proofErr w:type="spellEnd"/>
      <w:r w:rsidRPr="001C2A55">
        <w:rPr>
          <w:i/>
        </w:rPr>
        <w:t xml:space="preserve"> et al., 2017) and invasive species. In standing water</w:t>
      </w:r>
      <w:r w:rsidR="00104F89">
        <w:rPr>
          <w:i/>
        </w:rPr>
        <w:t>s</w:t>
      </w:r>
      <w:r w:rsidRPr="001C2A55">
        <w:rPr>
          <w:i/>
        </w:rPr>
        <w:t xml:space="preserve">, </w:t>
      </w:r>
      <w:r w:rsidR="00520E1E">
        <w:rPr>
          <w:i/>
        </w:rPr>
        <w:t>such as</w:t>
      </w:r>
      <w:r w:rsidRPr="001C2A55">
        <w:rPr>
          <w:i/>
        </w:rPr>
        <w:t xml:space="preserve"> lakes and ponds, </w:t>
      </w:r>
      <w:proofErr w:type="spellStart"/>
      <w:proofErr w:type="gramStart"/>
      <w:r w:rsidRPr="001C2A55">
        <w:rPr>
          <w:i/>
        </w:rPr>
        <w:t>eDNA</w:t>
      </w:r>
      <w:proofErr w:type="spellEnd"/>
      <w:proofErr w:type="gramEnd"/>
      <w:r w:rsidRPr="001C2A55">
        <w:rPr>
          <w:i/>
        </w:rPr>
        <w:t xml:space="preserve"> has been used to estimate population abundance of target species. However</w:t>
      </w:r>
      <w:r w:rsidR="00520E1E">
        <w:rPr>
          <w:i/>
        </w:rPr>
        <w:t>,</w:t>
      </w:r>
      <w:r w:rsidRPr="001C2A55">
        <w:rPr>
          <w:i/>
        </w:rPr>
        <w:t xml:space="preserve"> the spatial and temporal distribution of </w:t>
      </w:r>
      <w:proofErr w:type="spellStart"/>
      <w:proofErr w:type="gramStart"/>
      <w:r w:rsidRPr="001C2A55">
        <w:rPr>
          <w:i/>
        </w:rPr>
        <w:t>eDNA</w:t>
      </w:r>
      <w:proofErr w:type="spellEnd"/>
      <w:proofErr w:type="gramEnd"/>
      <w:r w:rsidRPr="001C2A55">
        <w:rPr>
          <w:i/>
        </w:rPr>
        <w:t xml:space="preserve"> in flowing water</w:t>
      </w:r>
      <w:r w:rsidR="00104F89">
        <w:rPr>
          <w:i/>
        </w:rPr>
        <w:t>s</w:t>
      </w:r>
      <w:r w:rsidRPr="001C2A55">
        <w:rPr>
          <w:i/>
        </w:rPr>
        <w:t xml:space="preserve"> is </w:t>
      </w:r>
      <w:r w:rsidR="00104F89">
        <w:rPr>
          <w:i/>
        </w:rPr>
        <w:t xml:space="preserve">a </w:t>
      </w:r>
      <w:r w:rsidRPr="001C2A55">
        <w:rPr>
          <w:i/>
        </w:rPr>
        <w:t xml:space="preserve">more complicated process and requires more research (e.g. </w:t>
      </w:r>
      <w:proofErr w:type="spellStart"/>
      <w:r w:rsidRPr="001C2A55">
        <w:rPr>
          <w:i/>
        </w:rPr>
        <w:t>Shogren</w:t>
      </w:r>
      <w:proofErr w:type="spellEnd"/>
      <w:r w:rsidRPr="001C2A55">
        <w:rPr>
          <w:i/>
        </w:rPr>
        <w:t xml:space="preserve"> et al., 2017).</w:t>
      </w:r>
    </w:p>
    <w:p w14:paraId="31C8BC37" w14:textId="77777777" w:rsidR="00D51BD8" w:rsidRDefault="00104F89" w:rsidP="00F3119C">
      <w:pPr>
        <w:pStyle w:val="Heading3"/>
      </w:pPr>
      <w:bookmarkStart w:id="50" w:name="_Toc509996475"/>
      <w:r>
        <w:t>Confirming the l</w:t>
      </w:r>
      <w:r w:rsidR="00D51BD8">
        <w:t xml:space="preserve">ikelihood of </w:t>
      </w:r>
      <w:r w:rsidR="00D51BD8" w:rsidRPr="002C7881">
        <w:t>groundwater</w:t>
      </w:r>
      <w:r w:rsidR="00D51BD8">
        <w:t xml:space="preserve"> dependence</w:t>
      </w:r>
      <w:bookmarkEnd w:id="50"/>
    </w:p>
    <w:p w14:paraId="31C8BC38" w14:textId="77777777" w:rsidR="00104F89" w:rsidRDefault="00D51BD8" w:rsidP="00D51BD8">
      <w:pPr>
        <w:pStyle w:val="BodyText"/>
      </w:pPr>
      <w:r w:rsidRPr="00846712">
        <w:rPr>
          <w:noProof/>
        </w:rPr>
        <w:drawing>
          <wp:anchor distT="0" distB="0" distL="114300" distR="114300" simplePos="0" relativeHeight="251897344" behindDoc="0" locked="0" layoutInCell="1" allowOverlap="1" wp14:anchorId="31C8C2F2" wp14:editId="31C8C2F3">
            <wp:simplePos x="0" y="0"/>
            <wp:positionH relativeFrom="margin">
              <wp:align>left</wp:align>
            </wp:positionH>
            <wp:positionV relativeFrom="paragraph">
              <wp:posOffset>54493</wp:posOffset>
            </wp:positionV>
            <wp:extent cx="2292350" cy="1540510"/>
            <wp:effectExtent l="0" t="0" r="0" b="2540"/>
            <wp:wrapThrough wrapText="bothSides">
              <wp:wrapPolygon edited="0">
                <wp:start x="0" y="0"/>
                <wp:lineTo x="0" y="21369"/>
                <wp:lineTo x="21361" y="21369"/>
                <wp:lineTo x="21361"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_1797v2.jpg"/>
                    <pic:cNvPicPr/>
                  </pic:nvPicPr>
                  <pic:blipFill>
                    <a:blip r:embed="rId65" cstate="email">
                      <a:extLst>
                        <a:ext uri="{28A0092B-C50C-407E-A947-70E740481C1C}">
                          <a14:useLocalDpi xmlns:a14="http://schemas.microsoft.com/office/drawing/2010/main"/>
                        </a:ext>
                      </a:extLst>
                    </a:blip>
                    <a:stretch>
                      <a:fillRect/>
                    </a:stretch>
                  </pic:blipFill>
                  <pic:spPr>
                    <a:xfrm>
                      <a:off x="0" y="0"/>
                      <a:ext cx="2292350" cy="1540510"/>
                    </a:xfrm>
                    <a:prstGeom prst="rect">
                      <a:avLst/>
                    </a:prstGeom>
                  </pic:spPr>
                </pic:pic>
              </a:graphicData>
            </a:graphic>
            <wp14:sizeRelH relativeFrom="margin">
              <wp14:pctWidth>0</wp14:pctWidth>
            </wp14:sizeRelH>
            <wp14:sizeRelV relativeFrom="margin">
              <wp14:pctHeight>0</wp14:pctHeight>
            </wp14:sizeRelV>
          </wp:anchor>
        </w:drawing>
      </w:r>
      <w:r>
        <w:t>A measure of GDE likelihood identifies regions of the project impact area</w:t>
      </w:r>
      <w:r w:rsidRPr="00DD404A">
        <w:t xml:space="preserve"> that require </w:t>
      </w:r>
      <w:r>
        <w:t>further assessment</w:t>
      </w:r>
      <w:r w:rsidRPr="00DD404A">
        <w:t xml:space="preserve"> to </w:t>
      </w:r>
      <w:r>
        <w:t>characterise</w:t>
      </w:r>
      <w:r w:rsidRPr="00DD404A">
        <w:t xml:space="preserve"> levels of groundwater connectivity and </w:t>
      </w:r>
      <w:r>
        <w:t>thresholds</w:t>
      </w:r>
      <w:r w:rsidRPr="00DD404A">
        <w:t xml:space="preserve"> beyond which </w:t>
      </w:r>
      <w:r w:rsidR="00104F89">
        <w:t xml:space="preserve">condition of </w:t>
      </w:r>
      <w:r w:rsidRPr="00DD404A">
        <w:t xml:space="preserve">the </w:t>
      </w:r>
      <w:r>
        <w:t>GDE</w:t>
      </w:r>
      <w:r w:rsidR="00104F89">
        <w:t>s</w:t>
      </w:r>
      <w:r w:rsidRPr="00DD404A">
        <w:t xml:space="preserve"> will decline if groundwater alteration occurs. Likelihood </w:t>
      </w:r>
      <w:r>
        <w:t>of accessing groundwater may be used as a proxy for groundwater dependence in the early stages of impact assessment. Without detailed field surveys, it is difficult to quantify the likelihood, so it</w:t>
      </w:r>
      <w:r w:rsidRPr="00DD404A">
        <w:t xml:space="preserve"> </w:t>
      </w:r>
      <w:r>
        <w:t xml:space="preserve">can be </w:t>
      </w:r>
      <w:r w:rsidRPr="00DD404A">
        <w:t xml:space="preserve">reported </w:t>
      </w:r>
      <w:r w:rsidR="00104F89">
        <w:t xml:space="preserve">qualitatively </w:t>
      </w:r>
      <w:r w:rsidRPr="00DD404A">
        <w:t>as high, medium, low and nil</w:t>
      </w:r>
      <w:r>
        <w:t>. For groundwater</w:t>
      </w:r>
      <w:r w:rsidR="00104F89">
        <w:t>-</w:t>
      </w:r>
      <w:r>
        <w:t xml:space="preserve">dependent vegetation communities, the likelihood of dependence can be determined initially by the species of tree (for species that have a known dependence on groundwater, </w:t>
      </w:r>
      <w:r w:rsidR="00104F89">
        <w:t xml:space="preserve">see </w:t>
      </w:r>
      <w:r>
        <w:fldChar w:fldCharType="begin"/>
      </w:r>
      <w:r>
        <w:instrText xml:space="preserve"> REF _Ref507708672 \h </w:instrText>
      </w:r>
      <w:r>
        <w:fldChar w:fldCharType="separate"/>
      </w:r>
      <w:r w:rsidR="00E96B43">
        <w:t>App</w:t>
      </w:r>
      <w:r w:rsidR="00E96B43" w:rsidRPr="00130947">
        <w:t xml:space="preserve"> Table </w:t>
      </w:r>
      <w:r w:rsidR="00E96B43">
        <w:rPr>
          <w:noProof/>
        </w:rPr>
        <w:t>5</w:t>
      </w:r>
      <w:r>
        <w:fldChar w:fldCharType="end"/>
      </w:r>
      <w:r>
        <w:t xml:space="preserve">) or groundwater depth as reported by local or regional monitoring data. </w:t>
      </w:r>
      <w:r w:rsidRPr="00DD404A">
        <w:t>For example,</w:t>
      </w:r>
      <w:r>
        <w:t xml:space="preserve"> a stand of Red Gum </w:t>
      </w:r>
      <w:r w:rsidRPr="00846712">
        <w:t xml:space="preserve">on a floodplain where the </w:t>
      </w:r>
      <w:proofErr w:type="spellStart"/>
      <w:r>
        <w:t>watertable</w:t>
      </w:r>
      <w:proofErr w:type="spellEnd"/>
      <w:r w:rsidRPr="00846712">
        <w:t xml:space="preserve"> is 5 m deep will have a high likelihood of accessing groundwater</w:t>
      </w:r>
      <w:r w:rsidR="00104F89">
        <w:t>,</w:t>
      </w:r>
      <w:r w:rsidRPr="00846712">
        <w:t xml:space="preserve"> based on published records (</w:t>
      </w:r>
      <w:r w:rsidRPr="00846712">
        <w:fldChar w:fldCharType="begin"/>
      </w:r>
      <w:r w:rsidRPr="00846712">
        <w:instrText xml:space="preserve"> REF _Ref507708672 \h </w:instrText>
      </w:r>
      <w:r>
        <w:instrText xml:space="preserve"> \* MERGEFORMAT </w:instrText>
      </w:r>
      <w:r w:rsidRPr="00846712">
        <w:fldChar w:fldCharType="separate"/>
      </w:r>
      <w:r w:rsidR="00E96B43">
        <w:t>App</w:t>
      </w:r>
      <w:r w:rsidR="00E96B43" w:rsidRPr="00130947">
        <w:t xml:space="preserve"> Table </w:t>
      </w:r>
      <w:r w:rsidR="00E96B43">
        <w:t>5</w:t>
      </w:r>
      <w:r w:rsidRPr="00846712">
        <w:fldChar w:fldCharType="end"/>
      </w:r>
      <w:r w:rsidRPr="00846712">
        <w:t xml:space="preserve"> and </w:t>
      </w:r>
      <w:r w:rsidRPr="00846712">
        <w:fldChar w:fldCharType="begin"/>
      </w:r>
      <w:r w:rsidRPr="00846712">
        <w:instrText xml:space="preserve"> REF _Ref507708678 \h </w:instrText>
      </w:r>
      <w:r>
        <w:instrText xml:space="preserve"> \* MERGEFORMAT </w:instrText>
      </w:r>
      <w:r w:rsidRPr="00846712">
        <w:fldChar w:fldCharType="separate"/>
      </w:r>
      <w:r w:rsidR="00E96B43">
        <w:t>App Table 6</w:t>
      </w:r>
      <w:r w:rsidRPr="00846712">
        <w:fldChar w:fldCharType="end"/>
      </w:r>
      <w:r w:rsidRPr="00846712">
        <w:t xml:space="preserve">). </w:t>
      </w:r>
    </w:p>
    <w:p w14:paraId="31C8BC39" w14:textId="77777777" w:rsidR="00D51BD8" w:rsidRDefault="00D51BD8" w:rsidP="00D51BD8">
      <w:pPr>
        <w:pStyle w:val="BodyText"/>
      </w:pPr>
      <w:r w:rsidRPr="00846712">
        <w:t xml:space="preserve">Rivers </w:t>
      </w:r>
      <w:r w:rsidR="00104F89">
        <w:t>ar</w:t>
      </w:r>
      <w:r w:rsidRPr="00846712">
        <w:t xml:space="preserve">e assigned a high likelihood of groundwater dependence if groundwater levels near the river channel are shallow and the </w:t>
      </w:r>
      <w:proofErr w:type="spellStart"/>
      <w:r>
        <w:t>watertable</w:t>
      </w:r>
      <w:proofErr w:type="spellEnd"/>
      <w:r w:rsidRPr="00846712">
        <w:t xml:space="preserve"> intersects or runs just below the lowest point in the river cross-section. All subterranean waters in alluvial aquifers are likely GDEs and are assigned a high l</w:t>
      </w:r>
      <w:r>
        <w:t>ikelihood</w:t>
      </w:r>
      <w:r w:rsidR="00CE3E3E">
        <w:t xml:space="preserve"> </w:t>
      </w:r>
      <w:r w:rsidR="00CE3E3E" w:rsidRPr="00846712">
        <w:t>of groundwater dependence</w:t>
      </w:r>
      <w:r>
        <w:t xml:space="preserve">. Groundwater </w:t>
      </w:r>
      <w:r w:rsidRPr="00846712">
        <w:t>dependence of other GDEs will be medium or low. If the ecosystem does not access groundwater (</w:t>
      </w:r>
      <w:r w:rsidR="00CE3E3E">
        <w:t>i.</w:t>
      </w:r>
      <w:r w:rsidRPr="00846712">
        <w:t>e.</w:t>
      </w:r>
      <w:r w:rsidR="00CE3E3E">
        <w:t>,</w:t>
      </w:r>
      <w:r w:rsidRPr="00846712">
        <w:t xml:space="preserve"> has a likelihood of nil), it is not a GDE.</w:t>
      </w:r>
      <w:r>
        <w:t xml:space="preserve"> </w:t>
      </w:r>
    </w:p>
    <w:p w14:paraId="31C8BC3A" w14:textId="77777777" w:rsidR="00D51BD8" w:rsidRPr="003E1A05" w:rsidRDefault="00D51BD8" w:rsidP="00D51BD8">
      <w:pPr>
        <w:pStyle w:val="BodyText"/>
      </w:pPr>
      <w:r w:rsidRPr="00846712">
        <w:t>To determine likelihood requires a further</w:t>
      </w:r>
      <w:r w:rsidRPr="00DE5D6E">
        <w:t xml:space="preserve"> targeted desktop study once potential GDEs </w:t>
      </w:r>
      <w:r>
        <w:t>have been</w:t>
      </w:r>
      <w:r w:rsidRPr="00DE5D6E">
        <w:t xml:space="preserve"> identified. </w:t>
      </w:r>
      <w:r>
        <w:t xml:space="preserve">The guiding questions provided in </w:t>
      </w:r>
      <w:proofErr w:type="spellStart"/>
      <w:r w:rsidRPr="003E1A05">
        <w:t>Eamus</w:t>
      </w:r>
      <w:proofErr w:type="spellEnd"/>
      <w:r w:rsidRPr="003E1A05">
        <w:t xml:space="preserve"> et al.</w:t>
      </w:r>
      <w:r>
        <w:t xml:space="preserve"> (</w:t>
      </w:r>
      <w:r w:rsidRPr="003E1A05">
        <w:t>2006</w:t>
      </w:r>
      <w:r>
        <w:t xml:space="preserve">; </w:t>
      </w:r>
      <w:r>
        <w:fldChar w:fldCharType="begin"/>
      </w:r>
      <w:r>
        <w:instrText xml:space="preserve"> REF _Ref508891894 \h </w:instrText>
      </w:r>
      <w:r>
        <w:fldChar w:fldCharType="separate"/>
      </w:r>
      <w:r w:rsidR="00E96B43">
        <w:t xml:space="preserve">Table </w:t>
      </w:r>
      <w:r w:rsidR="00E96B43">
        <w:rPr>
          <w:noProof/>
        </w:rPr>
        <w:t>1</w:t>
      </w:r>
      <w:r>
        <w:fldChar w:fldCharType="end"/>
      </w:r>
      <w:r w:rsidRPr="003E1A05">
        <w:t>) aid assessment</w:t>
      </w:r>
      <w:r w:rsidR="00CE3E3E">
        <w:t xml:space="preserve"> of </w:t>
      </w:r>
      <w:r w:rsidR="00CE3E3E" w:rsidRPr="003E1A05">
        <w:t>likelihood</w:t>
      </w:r>
      <w:r w:rsidRPr="003E1A05">
        <w:t>, whereby a positive answer to any one question infers likelihood</w:t>
      </w:r>
      <w:r w:rsidR="00CE3E3E">
        <w:t xml:space="preserve"> of being a GDE</w:t>
      </w:r>
      <w:r w:rsidRPr="003E1A05">
        <w:t>. To answer these questions, additional data and analysis such as stream flow or groundwater regime are required. Vegetation dependence on groundwater can be determined from literature review</w:t>
      </w:r>
      <w:r w:rsidR="00CE3E3E">
        <w:t>s</w:t>
      </w:r>
      <w:r w:rsidRPr="003E1A05">
        <w:t xml:space="preserve"> and species information given in </w:t>
      </w:r>
      <w:r>
        <w:fldChar w:fldCharType="begin"/>
      </w:r>
      <w:r>
        <w:instrText xml:space="preserve"> REF _Ref507708672 \h </w:instrText>
      </w:r>
      <w:r>
        <w:fldChar w:fldCharType="separate"/>
      </w:r>
      <w:r w:rsidR="00E96B43">
        <w:t>App</w:t>
      </w:r>
      <w:r w:rsidR="00E96B43" w:rsidRPr="00130947">
        <w:t xml:space="preserve"> Table </w:t>
      </w:r>
      <w:r w:rsidR="00E96B43">
        <w:rPr>
          <w:noProof/>
        </w:rPr>
        <w:t>5</w:t>
      </w:r>
      <w:r>
        <w:fldChar w:fldCharType="end"/>
      </w:r>
      <w:r>
        <w:t xml:space="preserve"> and </w:t>
      </w:r>
      <w:r>
        <w:fldChar w:fldCharType="begin"/>
      </w:r>
      <w:r>
        <w:instrText xml:space="preserve"> REF _Ref507708678 \h </w:instrText>
      </w:r>
      <w:r>
        <w:fldChar w:fldCharType="separate"/>
      </w:r>
      <w:r w:rsidR="00E96B43">
        <w:t xml:space="preserve">App Table </w:t>
      </w:r>
      <w:r w:rsidR="00E96B43">
        <w:rPr>
          <w:noProof/>
        </w:rPr>
        <w:t>6</w:t>
      </w:r>
      <w:r>
        <w:fldChar w:fldCharType="end"/>
      </w:r>
      <w:r w:rsidRPr="003E1A05">
        <w:t xml:space="preserve">. Additional remote sensing analysis at this stage can </w:t>
      </w:r>
      <w:r>
        <w:t>generat</w:t>
      </w:r>
      <w:r w:rsidRPr="003E1A05">
        <w:t xml:space="preserve">e datasets or </w:t>
      </w:r>
      <w:r>
        <w:t xml:space="preserve">highlight </w:t>
      </w:r>
      <w:r w:rsidRPr="003E1A05">
        <w:t xml:space="preserve">relationships to groundwater </w:t>
      </w:r>
      <w:r>
        <w:t>which help to reveal</w:t>
      </w:r>
      <w:r w:rsidRPr="003E1A05">
        <w:t xml:space="preserve"> likely </w:t>
      </w:r>
      <w:r>
        <w:t xml:space="preserve">groundwater </w:t>
      </w:r>
      <w:r w:rsidRPr="003E1A05">
        <w:t>dependence (</w:t>
      </w:r>
      <w:proofErr w:type="spellStart"/>
      <w:r w:rsidRPr="003E1A05">
        <w:t>Eamus</w:t>
      </w:r>
      <w:proofErr w:type="spellEnd"/>
      <w:r w:rsidRPr="003E1A05">
        <w:t xml:space="preserve"> et al., 2015</w:t>
      </w:r>
      <w:r>
        <w:t>a</w:t>
      </w:r>
      <w:r w:rsidRPr="003E1A05">
        <w:t xml:space="preserve">). </w:t>
      </w:r>
    </w:p>
    <w:p w14:paraId="31C8BC3B" w14:textId="77777777" w:rsidR="00D51BD8" w:rsidRPr="003E1A05" w:rsidRDefault="00BD0CD7" w:rsidP="00D51BD8">
      <w:pPr>
        <w:pStyle w:val="BodyText"/>
      </w:pPr>
      <w:r>
        <w:rPr>
          <w:noProof/>
        </w:rPr>
        <w:lastRenderedPageBreak/>
        <w:drawing>
          <wp:anchor distT="0" distB="0" distL="114300" distR="114300" simplePos="0" relativeHeight="251901440" behindDoc="0" locked="0" layoutInCell="1" allowOverlap="1" wp14:anchorId="31C8C2F4" wp14:editId="31C8C2F5">
            <wp:simplePos x="0" y="0"/>
            <wp:positionH relativeFrom="margin">
              <wp:align>right</wp:align>
            </wp:positionH>
            <wp:positionV relativeFrom="paragraph">
              <wp:posOffset>3186</wp:posOffset>
            </wp:positionV>
            <wp:extent cx="2483485" cy="1664970"/>
            <wp:effectExtent l="0" t="0" r="0" b="0"/>
            <wp:wrapThrough wrapText="bothSides">
              <wp:wrapPolygon edited="0">
                <wp:start x="0" y="0"/>
                <wp:lineTo x="0" y="21254"/>
                <wp:lineTo x="21374" y="21254"/>
                <wp:lineTo x="2137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9475v1.jpg"/>
                    <pic:cNvPicPr/>
                  </pic:nvPicPr>
                  <pic:blipFill>
                    <a:blip r:embed="rId66" cstate="email">
                      <a:extLst>
                        <a:ext uri="{28A0092B-C50C-407E-A947-70E740481C1C}">
                          <a14:useLocalDpi xmlns:a14="http://schemas.microsoft.com/office/drawing/2010/main"/>
                        </a:ext>
                      </a:extLst>
                    </a:blip>
                    <a:stretch>
                      <a:fillRect/>
                    </a:stretch>
                  </pic:blipFill>
                  <pic:spPr>
                    <a:xfrm>
                      <a:off x="0" y="0"/>
                      <a:ext cx="2483485" cy="1664970"/>
                    </a:xfrm>
                    <a:prstGeom prst="rect">
                      <a:avLst/>
                    </a:prstGeom>
                  </pic:spPr>
                </pic:pic>
              </a:graphicData>
            </a:graphic>
            <wp14:sizeRelH relativeFrom="margin">
              <wp14:pctWidth>0</wp14:pctWidth>
            </wp14:sizeRelH>
            <wp14:sizeRelV relativeFrom="margin">
              <wp14:pctHeight>0</wp14:pctHeight>
            </wp14:sizeRelV>
          </wp:anchor>
        </w:drawing>
      </w:r>
      <w:r w:rsidR="00D51BD8" w:rsidRPr="003E1A05">
        <w:t>Various approaches using desktop analysis to identify likelihood of GDEs include vegetation analysis, groundwater-surface interaction studies, remote sensing and geologic mapping (</w:t>
      </w:r>
      <w:proofErr w:type="spellStart"/>
      <w:r w:rsidR="00D51BD8" w:rsidRPr="003E1A05">
        <w:t>Dresel</w:t>
      </w:r>
      <w:proofErr w:type="spellEnd"/>
      <w:r w:rsidR="00D51BD8" w:rsidRPr="003E1A05">
        <w:t xml:space="preserve"> et al., 2010). Integrative methods using geological, hydrogeological and ecological data sets with the inclusion of expert opinion (and location of known GDEs) are now common</w:t>
      </w:r>
      <w:r w:rsidR="00CE3E3E">
        <w:t>ly used</w:t>
      </w:r>
      <w:r w:rsidR="00D51BD8" w:rsidRPr="003E1A05">
        <w:t xml:space="preserve"> to provide reliable estimates of likelihood, employing a multiple</w:t>
      </w:r>
      <w:r w:rsidR="003E6F39">
        <w:t>-</w:t>
      </w:r>
      <w:r w:rsidR="00D51BD8" w:rsidRPr="003E1A05">
        <w:t>lines</w:t>
      </w:r>
      <w:r w:rsidR="003E6F39">
        <w:t>-</w:t>
      </w:r>
      <w:r w:rsidR="00D51BD8" w:rsidRPr="003E1A05">
        <w:t>of</w:t>
      </w:r>
      <w:r w:rsidR="003E6F39">
        <w:t>-</w:t>
      </w:r>
      <w:r w:rsidR="00D51BD8" w:rsidRPr="003E1A05">
        <w:t xml:space="preserve">evidence approach. The method undertaken to create the GDE Atlas provides a relevant example of data integration (Doody et al., 2017) as does </w:t>
      </w:r>
      <w:r w:rsidR="00D51BD8" w:rsidRPr="00754BE8">
        <w:t>CASE STUDY</w:t>
      </w:r>
      <w:r w:rsidR="00D51BD8">
        <w:t xml:space="preserve"> 2</w:t>
      </w:r>
      <w:r w:rsidR="00D51BD8" w:rsidRPr="003E1A05">
        <w:t>.</w:t>
      </w:r>
    </w:p>
    <w:p w14:paraId="31C8BC3C" w14:textId="77777777" w:rsidR="00D51BD8" w:rsidRDefault="00CE3E3E" w:rsidP="00D51BD8">
      <w:pPr>
        <w:pStyle w:val="BodyText"/>
      </w:pPr>
      <w:r>
        <w:t>U</w:t>
      </w:r>
      <w:r w:rsidRPr="003E1A05">
        <w:t>sing desktop analysis and integration of three indirect data sources</w:t>
      </w:r>
      <w:r>
        <w:t xml:space="preserve"> (</w:t>
      </w:r>
      <w:r w:rsidRPr="003E1A05">
        <w:t>vegetation community mapping, groundwater level data</w:t>
      </w:r>
      <w:r>
        <w:t xml:space="preserve"> and</w:t>
      </w:r>
      <w:r w:rsidRPr="003E1A05">
        <w:t xml:space="preserve"> remote sensing greenness</w:t>
      </w:r>
      <w:r>
        <w:t>),</w:t>
      </w:r>
      <w:r w:rsidRPr="003E1A05">
        <w:t xml:space="preserve"> </w:t>
      </w:r>
      <w:r w:rsidR="00D51BD8" w:rsidRPr="003E1A05">
        <w:t xml:space="preserve">DPI (2016) demonstrate a model to identify </w:t>
      </w:r>
      <w:r w:rsidR="00D51BD8">
        <w:t xml:space="preserve">vegetation with </w:t>
      </w:r>
      <w:r w:rsidR="00D51BD8" w:rsidRPr="003E1A05">
        <w:t>high, medium</w:t>
      </w:r>
      <w:r w:rsidR="00D51BD8">
        <w:t xml:space="preserve"> and</w:t>
      </w:r>
      <w:r w:rsidR="00D51BD8" w:rsidRPr="003E1A05">
        <w:t xml:space="preserve"> low potential </w:t>
      </w:r>
      <w:r w:rsidR="00D51BD8">
        <w:t>for groundwater dependence</w:t>
      </w:r>
      <w:r w:rsidR="00D51BD8" w:rsidRPr="003E1A05">
        <w:t>. Frequency matrices for each GDE type (vegetation, wetland</w:t>
      </w:r>
      <w:r w:rsidR="00D51BD8">
        <w:t xml:space="preserve">, </w:t>
      </w:r>
      <w:proofErr w:type="spellStart"/>
      <w:r w:rsidR="00D51BD8">
        <w:t>etc</w:t>
      </w:r>
      <w:proofErr w:type="spellEnd"/>
      <w:r w:rsidR="00D51BD8" w:rsidRPr="003E1A05">
        <w:t>) are created where a classification of 1,</w:t>
      </w:r>
      <w:r w:rsidR="00D51BD8">
        <w:t xml:space="preserve"> </w:t>
      </w:r>
      <w:r w:rsidR="00D51BD8" w:rsidRPr="003E1A05">
        <w:t>2,</w:t>
      </w:r>
      <w:r w:rsidR="00D51BD8">
        <w:t xml:space="preserve"> </w:t>
      </w:r>
      <w:r w:rsidR="00D51BD8" w:rsidRPr="003E1A05">
        <w:t xml:space="preserve">3 and 4 responds to high, medium, low and no potential (or likelihood) to extract groundwater, respectively </w:t>
      </w:r>
      <w:r w:rsidR="00880B45">
        <w:t>(</w:t>
      </w:r>
      <w:r w:rsidR="00880B45">
        <w:fldChar w:fldCharType="begin"/>
      </w:r>
      <w:r w:rsidR="00880B45">
        <w:instrText xml:space="preserve"> REF _Ref509948220 \h </w:instrText>
      </w:r>
      <w:r w:rsidR="00880B45">
        <w:fldChar w:fldCharType="separate"/>
      </w:r>
      <w:r w:rsidR="00E96B43" w:rsidRPr="003E1A05">
        <w:t xml:space="preserve">Table </w:t>
      </w:r>
      <w:r w:rsidR="00E96B43">
        <w:rPr>
          <w:noProof/>
        </w:rPr>
        <w:t>3</w:t>
      </w:r>
      <w:r w:rsidR="00880B45">
        <w:fldChar w:fldCharType="end"/>
      </w:r>
      <w:r w:rsidR="00880B45">
        <w:t>).</w:t>
      </w:r>
    </w:p>
    <w:p w14:paraId="31C8BC3D" w14:textId="77777777" w:rsidR="00D51BD8" w:rsidRPr="001C65A0" w:rsidRDefault="00D51BD8" w:rsidP="00D51BD8">
      <w:pPr>
        <w:pStyle w:val="Caption"/>
        <w:rPr>
          <w:b/>
          <w:sz w:val="22"/>
        </w:rPr>
      </w:pPr>
      <w:bookmarkStart w:id="51" w:name="_Ref509948220"/>
      <w:bookmarkStart w:id="52" w:name="_Toc509991066"/>
      <w:r w:rsidRPr="003E1A05">
        <w:t xml:space="preserve">Table </w:t>
      </w:r>
      <w:r w:rsidR="00085933">
        <w:fldChar w:fldCharType="begin"/>
      </w:r>
      <w:r w:rsidR="00085933">
        <w:instrText xml:space="preserve"> SEQ Table \*</w:instrText>
      </w:r>
      <w:r w:rsidR="00085933">
        <w:instrText xml:space="preserve"> ARABIC </w:instrText>
      </w:r>
      <w:r w:rsidR="00085933">
        <w:fldChar w:fldCharType="separate"/>
      </w:r>
      <w:r w:rsidR="00E96B43">
        <w:rPr>
          <w:noProof/>
        </w:rPr>
        <w:t>3</w:t>
      </w:r>
      <w:r w:rsidR="00085933">
        <w:rPr>
          <w:noProof/>
        </w:rPr>
        <w:fldChar w:fldCharType="end"/>
      </w:r>
      <w:bookmarkEnd w:id="51"/>
      <w:r w:rsidRPr="003E1A05">
        <w:t>. Groundwater depth (m) and number of times in a 10</w:t>
      </w:r>
      <w:r w:rsidR="00CE3E3E">
        <w:t>-</w:t>
      </w:r>
      <w:r w:rsidRPr="003E1A05">
        <w:t xml:space="preserve">year period that greenness remained above a determined threshold to indicate groundwater use for woody vegetation. 1=high, 2=medium, 3=low, 4= no potential. </w:t>
      </w:r>
      <w:r>
        <w:t>See DPI (2016) for full methods.</w:t>
      </w:r>
      <w:bookmarkEnd w:id="52"/>
    </w:p>
    <w:tbl>
      <w:tblPr>
        <w:tblStyle w:val="TableCSIRO"/>
        <w:tblW w:w="0" w:type="auto"/>
        <w:jc w:val="center"/>
        <w:tblInd w:w="0" w:type="dxa"/>
        <w:tblBorders>
          <w:bottom w:val="none" w:sz="0" w:space="0" w:color="auto"/>
        </w:tblBorders>
        <w:tblLook w:val="04A0" w:firstRow="1" w:lastRow="0" w:firstColumn="1" w:lastColumn="0" w:noHBand="0" w:noVBand="1"/>
      </w:tblPr>
      <w:tblGrid>
        <w:gridCol w:w="1158"/>
        <w:gridCol w:w="992"/>
        <w:gridCol w:w="993"/>
        <w:gridCol w:w="992"/>
      </w:tblGrid>
      <w:tr w:rsidR="00D51BD8" w:rsidRPr="003A548E" w14:paraId="31C8BC42" w14:textId="77777777" w:rsidTr="006E25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tcPr>
          <w:p w14:paraId="31C8BC3E" w14:textId="77777777" w:rsidR="00D51BD8" w:rsidRPr="003A548E" w:rsidRDefault="00D51BD8" w:rsidP="006E25F9">
            <w:pPr>
              <w:pStyle w:val="BodyText"/>
              <w:jc w:val="center"/>
              <w:rPr>
                <w:color w:val="FFFFFF" w:themeColor="background2"/>
                <w:sz w:val="18"/>
                <w:szCs w:val="18"/>
              </w:rPr>
            </w:pPr>
          </w:p>
        </w:tc>
        <w:tc>
          <w:tcPr>
            <w:tcW w:w="992" w:type="dxa"/>
          </w:tcPr>
          <w:p w14:paraId="31C8BC3F" w14:textId="77777777" w:rsidR="00D51BD8" w:rsidRPr="003A548E" w:rsidRDefault="00D51BD8" w:rsidP="006E25F9">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sz w:val="18"/>
                <w:szCs w:val="18"/>
              </w:rPr>
            </w:pPr>
            <w:r w:rsidRPr="003A548E">
              <w:rPr>
                <w:color w:val="FFFFFF" w:themeColor="background2"/>
                <w:sz w:val="18"/>
                <w:szCs w:val="18"/>
              </w:rPr>
              <w:t>1-4</w:t>
            </w:r>
            <w:r>
              <w:rPr>
                <w:color w:val="FFFFFF" w:themeColor="background2"/>
                <w:sz w:val="18"/>
                <w:szCs w:val="18"/>
              </w:rPr>
              <w:t xml:space="preserve"> times</w:t>
            </w:r>
          </w:p>
        </w:tc>
        <w:tc>
          <w:tcPr>
            <w:tcW w:w="993" w:type="dxa"/>
          </w:tcPr>
          <w:p w14:paraId="31C8BC40" w14:textId="77777777" w:rsidR="00D51BD8" w:rsidRPr="003A548E" w:rsidRDefault="00D51BD8" w:rsidP="006E25F9">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sz w:val="18"/>
                <w:szCs w:val="18"/>
              </w:rPr>
            </w:pPr>
            <w:r w:rsidRPr="003A548E">
              <w:rPr>
                <w:color w:val="FFFFFF" w:themeColor="background2"/>
                <w:sz w:val="18"/>
                <w:szCs w:val="18"/>
              </w:rPr>
              <w:t>5-8</w:t>
            </w:r>
            <w:r>
              <w:rPr>
                <w:color w:val="FFFFFF" w:themeColor="background2"/>
                <w:sz w:val="18"/>
                <w:szCs w:val="18"/>
              </w:rPr>
              <w:t xml:space="preserve"> times </w:t>
            </w:r>
          </w:p>
        </w:tc>
        <w:tc>
          <w:tcPr>
            <w:tcW w:w="992" w:type="dxa"/>
          </w:tcPr>
          <w:p w14:paraId="31C8BC41" w14:textId="77777777" w:rsidR="00D51BD8" w:rsidRPr="003A548E" w:rsidRDefault="00D51BD8" w:rsidP="006E25F9">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sz w:val="18"/>
                <w:szCs w:val="18"/>
              </w:rPr>
            </w:pPr>
            <w:r w:rsidRPr="003A548E">
              <w:rPr>
                <w:color w:val="FFFFFF" w:themeColor="background2"/>
                <w:sz w:val="18"/>
                <w:szCs w:val="18"/>
              </w:rPr>
              <w:t>9-10</w:t>
            </w:r>
            <w:r>
              <w:rPr>
                <w:color w:val="FFFFFF" w:themeColor="background2"/>
                <w:sz w:val="18"/>
                <w:szCs w:val="18"/>
              </w:rPr>
              <w:t xml:space="preserve"> times</w:t>
            </w:r>
          </w:p>
        </w:tc>
      </w:tr>
      <w:tr w:rsidR="00D51BD8" w:rsidRPr="003A548E" w14:paraId="31C8BC47" w14:textId="77777777" w:rsidTr="006E2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tcPr>
          <w:p w14:paraId="31C8BC43" w14:textId="77777777" w:rsidR="00D51BD8" w:rsidRPr="003A548E" w:rsidRDefault="00D51BD8" w:rsidP="006E25F9">
            <w:pPr>
              <w:pStyle w:val="BodyText"/>
              <w:rPr>
                <w:sz w:val="18"/>
                <w:szCs w:val="18"/>
              </w:rPr>
            </w:pPr>
            <w:r w:rsidRPr="003A548E">
              <w:rPr>
                <w:sz w:val="18"/>
                <w:szCs w:val="18"/>
              </w:rPr>
              <w:t>0-8</w:t>
            </w:r>
            <w:r>
              <w:rPr>
                <w:sz w:val="18"/>
                <w:szCs w:val="18"/>
              </w:rPr>
              <w:t xml:space="preserve"> m</w:t>
            </w:r>
          </w:p>
        </w:tc>
        <w:tc>
          <w:tcPr>
            <w:tcW w:w="992" w:type="dxa"/>
          </w:tcPr>
          <w:p w14:paraId="31C8BC44" w14:textId="77777777" w:rsidR="00D51BD8" w:rsidRPr="003A548E" w:rsidRDefault="00D51BD8" w:rsidP="006E25F9">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3A548E">
              <w:rPr>
                <w:sz w:val="18"/>
                <w:szCs w:val="18"/>
              </w:rPr>
              <w:t>3</w:t>
            </w:r>
          </w:p>
        </w:tc>
        <w:tc>
          <w:tcPr>
            <w:tcW w:w="993" w:type="dxa"/>
          </w:tcPr>
          <w:p w14:paraId="31C8BC45" w14:textId="77777777" w:rsidR="00D51BD8" w:rsidRPr="003A548E" w:rsidRDefault="00D51BD8" w:rsidP="006E25F9">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3A548E">
              <w:rPr>
                <w:sz w:val="18"/>
                <w:szCs w:val="18"/>
              </w:rPr>
              <w:t>2</w:t>
            </w:r>
          </w:p>
        </w:tc>
        <w:tc>
          <w:tcPr>
            <w:tcW w:w="992" w:type="dxa"/>
          </w:tcPr>
          <w:p w14:paraId="31C8BC46" w14:textId="77777777" w:rsidR="00D51BD8" w:rsidRPr="003A548E" w:rsidRDefault="00D51BD8" w:rsidP="006E25F9">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3A548E">
              <w:rPr>
                <w:sz w:val="18"/>
                <w:szCs w:val="18"/>
              </w:rPr>
              <w:t>1</w:t>
            </w:r>
          </w:p>
        </w:tc>
      </w:tr>
      <w:tr w:rsidR="00D51BD8" w:rsidRPr="003A548E" w14:paraId="31C8BC4C" w14:textId="77777777" w:rsidTr="006E25F9">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31C8BC48" w14:textId="77777777" w:rsidR="00D51BD8" w:rsidRPr="003A548E" w:rsidRDefault="00D51BD8" w:rsidP="006E25F9">
            <w:pPr>
              <w:pStyle w:val="BodyText"/>
              <w:rPr>
                <w:sz w:val="18"/>
                <w:szCs w:val="18"/>
              </w:rPr>
            </w:pPr>
            <w:r w:rsidRPr="003A548E">
              <w:rPr>
                <w:sz w:val="18"/>
                <w:szCs w:val="18"/>
              </w:rPr>
              <w:t>8-12</w:t>
            </w:r>
            <w:r>
              <w:rPr>
                <w:sz w:val="18"/>
                <w:szCs w:val="18"/>
              </w:rPr>
              <w:t xml:space="preserve"> m</w:t>
            </w:r>
          </w:p>
        </w:tc>
        <w:tc>
          <w:tcPr>
            <w:tcW w:w="992" w:type="dxa"/>
          </w:tcPr>
          <w:p w14:paraId="31C8BC49" w14:textId="77777777" w:rsidR="00D51BD8" w:rsidRPr="003A548E" w:rsidRDefault="00D51BD8" w:rsidP="006E25F9">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3A548E">
              <w:rPr>
                <w:sz w:val="18"/>
                <w:szCs w:val="18"/>
              </w:rPr>
              <w:t>3</w:t>
            </w:r>
          </w:p>
        </w:tc>
        <w:tc>
          <w:tcPr>
            <w:tcW w:w="993" w:type="dxa"/>
          </w:tcPr>
          <w:p w14:paraId="31C8BC4A" w14:textId="77777777" w:rsidR="00D51BD8" w:rsidRPr="003A548E" w:rsidRDefault="00D51BD8" w:rsidP="006E25F9">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3A548E">
              <w:rPr>
                <w:sz w:val="18"/>
                <w:szCs w:val="18"/>
              </w:rPr>
              <w:t>2</w:t>
            </w:r>
          </w:p>
        </w:tc>
        <w:tc>
          <w:tcPr>
            <w:tcW w:w="992" w:type="dxa"/>
          </w:tcPr>
          <w:p w14:paraId="31C8BC4B" w14:textId="77777777" w:rsidR="00D51BD8" w:rsidRPr="003A548E" w:rsidRDefault="00D51BD8" w:rsidP="006E25F9">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3A548E">
              <w:rPr>
                <w:sz w:val="18"/>
                <w:szCs w:val="18"/>
              </w:rPr>
              <w:t>2</w:t>
            </w:r>
          </w:p>
        </w:tc>
      </w:tr>
      <w:tr w:rsidR="00D51BD8" w:rsidRPr="003A548E" w14:paraId="31C8BC51" w14:textId="77777777" w:rsidTr="006E2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tcPr>
          <w:p w14:paraId="31C8BC4D" w14:textId="77777777" w:rsidR="00D51BD8" w:rsidRPr="003A548E" w:rsidRDefault="00D51BD8" w:rsidP="006E25F9">
            <w:pPr>
              <w:pStyle w:val="BodyText"/>
              <w:rPr>
                <w:sz w:val="18"/>
                <w:szCs w:val="18"/>
              </w:rPr>
            </w:pPr>
            <w:r w:rsidRPr="003A548E">
              <w:rPr>
                <w:sz w:val="18"/>
                <w:szCs w:val="18"/>
              </w:rPr>
              <w:t>12-16</w:t>
            </w:r>
            <w:r>
              <w:rPr>
                <w:sz w:val="18"/>
                <w:szCs w:val="18"/>
              </w:rPr>
              <w:t xml:space="preserve"> m</w:t>
            </w:r>
          </w:p>
        </w:tc>
        <w:tc>
          <w:tcPr>
            <w:tcW w:w="992" w:type="dxa"/>
          </w:tcPr>
          <w:p w14:paraId="31C8BC4E" w14:textId="77777777" w:rsidR="00D51BD8" w:rsidRPr="003A548E" w:rsidRDefault="00D51BD8" w:rsidP="006E25F9">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3A548E">
              <w:rPr>
                <w:sz w:val="18"/>
                <w:szCs w:val="18"/>
              </w:rPr>
              <w:t>3</w:t>
            </w:r>
          </w:p>
        </w:tc>
        <w:tc>
          <w:tcPr>
            <w:tcW w:w="993" w:type="dxa"/>
          </w:tcPr>
          <w:p w14:paraId="31C8BC4F" w14:textId="77777777" w:rsidR="00D51BD8" w:rsidRPr="003A548E" w:rsidRDefault="00D51BD8" w:rsidP="006E25F9">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3A548E">
              <w:rPr>
                <w:sz w:val="18"/>
                <w:szCs w:val="18"/>
              </w:rPr>
              <w:t>3</w:t>
            </w:r>
          </w:p>
        </w:tc>
        <w:tc>
          <w:tcPr>
            <w:tcW w:w="992" w:type="dxa"/>
          </w:tcPr>
          <w:p w14:paraId="31C8BC50" w14:textId="77777777" w:rsidR="00D51BD8" w:rsidRPr="003A548E" w:rsidRDefault="00D51BD8" w:rsidP="006E25F9">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3A548E">
              <w:rPr>
                <w:sz w:val="18"/>
                <w:szCs w:val="18"/>
              </w:rPr>
              <w:t>2</w:t>
            </w:r>
          </w:p>
        </w:tc>
      </w:tr>
      <w:tr w:rsidR="00D51BD8" w:rsidRPr="003A548E" w14:paraId="31C8BC56" w14:textId="77777777" w:rsidTr="006E25F9">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31C8BC52" w14:textId="77777777" w:rsidR="00D51BD8" w:rsidRPr="003A548E" w:rsidRDefault="00D51BD8" w:rsidP="006E25F9">
            <w:pPr>
              <w:pStyle w:val="BodyText"/>
              <w:rPr>
                <w:sz w:val="18"/>
                <w:szCs w:val="18"/>
              </w:rPr>
            </w:pPr>
            <w:r w:rsidRPr="003A548E">
              <w:rPr>
                <w:sz w:val="18"/>
                <w:szCs w:val="18"/>
              </w:rPr>
              <w:t>16-20</w:t>
            </w:r>
            <w:r>
              <w:rPr>
                <w:sz w:val="18"/>
                <w:szCs w:val="18"/>
              </w:rPr>
              <w:t xml:space="preserve"> m</w:t>
            </w:r>
          </w:p>
        </w:tc>
        <w:tc>
          <w:tcPr>
            <w:tcW w:w="992" w:type="dxa"/>
          </w:tcPr>
          <w:p w14:paraId="31C8BC53" w14:textId="77777777" w:rsidR="00D51BD8" w:rsidRPr="003A548E" w:rsidRDefault="00D51BD8" w:rsidP="006E25F9">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3A548E">
              <w:rPr>
                <w:sz w:val="18"/>
                <w:szCs w:val="18"/>
              </w:rPr>
              <w:t>4</w:t>
            </w:r>
          </w:p>
        </w:tc>
        <w:tc>
          <w:tcPr>
            <w:tcW w:w="993" w:type="dxa"/>
          </w:tcPr>
          <w:p w14:paraId="31C8BC54" w14:textId="77777777" w:rsidR="00D51BD8" w:rsidRPr="003A548E" w:rsidRDefault="00D51BD8" w:rsidP="006E25F9">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3A548E">
              <w:rPr>
                <w:sz w:val="18"/>
                <w:szCs w:val="18"/>
              </w:rPr>
              <w:t>3</w:t>
            </w:r>
          </w:p>
        </w:tc>
        <w:tc>
          <w:tcPr>
            <w:tcW w:w="992" w:type="dxa"/>
          </w:tcPr>
          <w:p w14:paraId="31C8BC55" w14:textId="77777777" w:rsidR="00D51BD8" w:rsidRPr="003A548E" w:rsidRDefault="00D51BD8" w:rsidP="006E25F9">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3A548E">
              <w:rPr>
                <w:sz w:val="18"/>
                <w:szCs w:val="18"/>
              </w:rPr>
              <w:t>3</w:t>
            </w:r>
          </w:p>
        </w:tc>
      </w:tr>
      <w:tr w:rsidR="00D51BD8" w:rsidRPr="003A548E" w14:paraId="31C8BC5B" w14:textId="77777777" w:rsidTr="006E2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tcBorders>
              <w:bottom w:val="single" w:sz="4" w:space="0" w:color="auto"/>
            </w:tcBorders>
          </w:tcPr>
          <w:p w14:paraId="31C8BC57" w14:textId="77777777" w:rsidR="00D51BD8" w:rsidRPr="003A548E" w:rsidRDefault="00D51BD8" w:rsidP="006E25F9">
            <w:pPr>
              <w:pStyle w:val="BodyText"/>
              <w:rPr>
                <w:sz w:val="18"/>
                <w:szCs w:val="18"/>
              </w:rPr>
            </w:pPr>
            <w:r w:rsidRPr="003A548E">
              <w:rPr>
                <w:sz w:val="18"/>
                <w:szCs w:val="18"/>
              </w:rPr>
              <w:t>&gt;20</w:t>
            </w:r>
            <w:r>
              <w:rPr>
                <w:sz w:val="18"/>
                <w:szCs w:val="18"/>
              </w:rPr>
              <w:t xml:space="preserve"> m</w:t>
            </w:r>
          </w:p>
        </w:tc>
        <w:tc>
          <w:tcPr>
            <w:tcW w:w="992" w:type="dxa"/>
            <w:tcBorders>
              <w:bottom w:val="single" w:sz="4" w:space="0" w:color="auto"/>
            </w:tcBorders>
          </w:tcPr>
          <w:p w14:paraId="31C8BC58" w14:textId="77777777" w:rsidR="00D51BD8" w:rsidRPr="003A548E" w:rsidRDefault="00D51BD8" w:rsidP="006E25F9">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3A548E">
              <w:rPr>
                <w:sz w:val="18"/>
                <w:szCs w:val="18"/>
              </w:rPr>
              <w:t>4</w:t>
            </w:r>
          </w:p>
        </w:tc>
        <w:tc>
          <w:tcPr>
            <w:tcW w:w="993" w:type="dxa"/>
            <w:tcBorders>
              <w:bottom w:val="single" w:sz="4" w:space="0" w:color="auto"/>
            </w:tcBorders>
          </w:tcPr>
          <w:p w14:paraId="31C8BC59" w14:textId="77777777" w:rsidR="00D51BD8" w:rsidRPr="003A548E" w:rsidRDefault="00D51BD8" w:rsidP="006E25F9">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3A548E">
              <w:rPr>
                <w:sz w:val="18"/>
                <w:szCs w:val="18"/>
              </w:rPr>
              <w:t>4</w:t>
            </w:r>
          </w:p>
        </w:tc>
        <w:tc>
          <w:tcPr>
            <w:tcW w:w="992" w:type="dxa"/>
            <w:tcBorders>
              <w:bottom w:val="single" w:sz="4" w:space="0" w:color="auto"/>
            </w:tcBorders>
          </w:tcPr>
          <w:p w14:paraId="31C8BC5A" w14:textId="77777777" w:rsidR="00D51BD8" w:rsidRPr="003A548E" w:rsidRDefault="00D51BD8" w:rsidP="006E25F9">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3A548E">
              <w:rPr>
                <w:sz w:val="18"/>
                <w:szCs w:val="18"/>
              </w:rPr>
              <w:t>3</w:t>
            </w:r>
          </w:p>
        </w:tc>
      </w:tr>
    </w:tbl>
    <w:p w14:paraId="31C8BC5C" w14:textId="77777777" w:rsidR="00D51BD8" w:rsidRPr="00EC5748" w:rsidRDefault="00D51BD8" w:rsidP="005140FA">
      <w:pPr>
        <w:pStyle w:val="BodyText"/>
      </w:pPr>
    </w:p>
    <w:p w14:paraId="31C8BC5D" w14:textId="77777777" w:rsidR="000B6643" w:rsidRDefault="000B6643" w:rsidP="000B6643">
      <w:pPr>
        <w:pStyle w:val="BodyText"/>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D1F6FF" w:themeFill="accent2" w:themeFillTint="1A"/>
      </w:pPr>
      <w:r>
        <w:rPr>
          <w:b/>
        </w:rPr>
        <w:t>OUTCOME:</w:t>
      </w:r>
      <w:r>
        <w:t xml:space="preserve"> Proponent </w:t>
      </w:r>
      <w:r w:rsidR="00471E8C">
        <w:t xml:space="preserve">will have assessed the likely level of groundwater dependence of potential GDEs in the project impact area as high, medium, low or nil using a multiple lines-of-evidence approach. Temporal and spatial groundwater needs will be documented, and causal impact pathways identified. Where possible, conceptual models will be updated with new </w:t>
      </w:r>
      <w:r w:rsidR="000C2688">
        <w:t>information.</w:t>
      </w:r>
    </w:p>
    <w:p w14:paraId="31C8BC5E" w14:textId="77777777" w:rsidR="000321C5" w:rsidRDefault="002C7881" w:rsidP="00F3119C">
      <w:pPr>
        <w:pStyle w:val="Heading1"/>
      </w:pPr>
      <w:bookmarkStart w:id="53" w:name="_Toc509996476"/>
      <w:r>
        <w:lastRenderedPageBreak/>
        <w:t>B</w:t>
      </w:r>
      <w:r w:rsidR="000321C5">
        <w:t>aseline ecological condition</w:t>
      </w:r>
      <w:r>
        <w:t xml:space="preserve"> </w:t>
      </w:r>
      <w:r w:rsidR="001A49F6">
        <w:t xml:space="preserve">assessment </w:t>
      </w:r>
      <w:r>
        <w:t>and field survey requirements</w:t>
      </w:r>
      <w:bookmarkEnd w:id="53"/>
    </w:p>
    <w:p w14:paraId="31C8BC5F" w14:textId="77777777" w:rsidR="00E81A07" w:rsidRDefault="00E81A07" w:rsidP="00E81A07">
      <w:pPr>
        <w:pStyle w:val="BodyText"/>
      </w:pPr>
      <w:r>
        <w:t xml:space="preserve">The baseline ecological condition of a GDE is the state </w:t>
      </w:r>
      <w:r w:rsidR="001A49F6">
        <w:t xml:space="preserve">of </w:t>
      </w:r>
      <w:r>
        <w:t xml:space="preserve">the ecosystem prior to the start of </w:t>
      </w:r>
      <w:r w:rsidR="00C92646">
        <w:t xml:space="preserve">CSG </w:t>
      </w:r>
      <w:r>
        <w:t xml:space="preserve">and </w:t>
      </w:r>
      <w:r w:rsidR="00C92646">
        <w:t xml:space="preserve">LCM </w:t>
      </w:r>
      <w:r>
        <w:t xml:space="preserve">activities. Where the GDE occurs in an agricultural </w:t>
      </w:r>
      <w:r w:rsidR="001A49F6">
        <w:t xml:space="preserve">or other modified </w:t>
      </w:r>
      <w:r>
        <w:t xml:space="preserve">landscape, there may already be some pre-existing influences on the ecosystem that have moved it from </w:t>
      </w:r>
      <w:r w:rsidR="00C92646">
        <w:t>a</w:t>
      </w:r>
      <w:r>
        <w:t xml:space="preserve"> pristine condition</w:t>
      </w:r>
      <w:r w:rsidR="002403E6">
        <w:t xml:space="preserve"> </w:t>
      </w:r>
      <w:r w:rsidR="001A49F6">
        <w:t xml:space="preserve">and this </w:t>
      </w:r>
      <w:r w:rsidR="002403E6">
        <w:t>should be considered</w:t>
      </w:r>
      <w:r w:rsidR="00BB1DD0">
        <w:t>. In an EIA</w:t>
      </w:r>
      <w:r>
        <w:t>, the</w:t>
      </w:r>
      <w:r w:rsidR="00E8370D">
        <w:t xml:space="preserve"> main purpose of determining baseline ecological value is to understand the ‘starting point’ of the ecosystem prior to development</w:t>
      </w:r>
      <w:r w:rsidR="002403E6">
        <w:t>. This becomes</w:t>
      </w:r>
      <w:r w:rsidR="00E8370D">
        <w:t xml:space="preserve"> a benchmark</w:t>
      </w:r>
      <w:r w:rsidR="002403E6">
        <w:t xml:space="preserve"> that future monitoring can be compared</w:t>
      </w:r>
      <w:r w:rsidR="00E8370D">
        <w:t xml:space="preserve"> against.</w:t>
      </w:r>
      <w:r w:rsidR="002403E6">
        <w:t xml:space="preserve"> If a GDE is in a poor state prior to </w:t>
      </w:r>
      <w:r w:rsidR="001A49F6">
        <w:t xml:space="preserve">CSG or LCM </w:t>
      </w:r>
      <w:r w:rsidR="002403E6">
        <w:t>development, there should be an aim to improve</w:t>
      </w:r>
      <w:r w:rsidR="00E8370D">
        <w:t xml:space="preserve"> </w:t>
      </w:r>
      <w:r w:rsidR="002403E6">
        <w:t xml:space="preserve">its condition during </w:t>
      </w:r>
      <w:r w:rsidR="002A6273">
        <w:t xml:space="preserve">and beyond </w:t>
      </w:r>
      <w:r w:rsidR="002403E6">
        <w:t>operation</w:t>
      </w:r>
      <w:r w:rsidR="002A6273">
        <w:t>s</w:t>
      </w:r>
      <w:r w:rsidR="002403E6">
        <w:t>.</w:t>
      </w:r>
    </w:p>
    <w:p w14:paraId="31C8BC60" w14:textId="77777777" w:rsidR="000F4491" w:rsidRPr="002C7881" w:rsidRDefault="00E81A07" w:rsidP="00F3119C">
      <w:pPr>
        <w:pStyle w:val="Heading2"/>
      </w:pPr>
      <w:bookmarkStart w:id="54" w:name="_Toc509996477"/>
      <w:r w:rsidRPr="002C7881">
        <w:t>Baseline conditions</w:t>
      </w:r>
      <w:bookmarkEnd w:id="54"/>
    </w:p>
    <w:p w14:paraId="31C8BC61" w14:textId="77777777" w:rsidR="000F4491" w:rsidRDefault="00683396" w:rsidP="000F4491">
      <w:pPr>
        <w:pStyle w:val="BodyText"/>
        <w:rPr>
          <w:color w:val="auto"/>
        </w:rPr>
      </w:pPr>
      <w:r>
        <w:rPr>
          <w:color w:val="auto"/>
        </w:rPr>
        <w:t xml:space="preserve">To </w:t>
      </w:r>
      <w:r w:rsidR="00607149">
        <w:rPr>
          <w:color w:val="auto"/>
        </w:rPr>
        <w:t>define</w:t>
      </w:r>
      <w:r w:rsidR="00B524BF">
        <w:rPr>
          <w:color w:val="auto"/>
        </w:rPr>
        <w:t xml:space="preserve"> the baseline condition of GDEs prior to </w:t>
      </w:r>
      <w:r w:rsidR="00652A0D">
        <w:t xml:space="preserve">CSG and LCM </w:t>
      </w:r>
      <w:r w:rsidR="00B524BF">
        <w:rPr>
          <w:color w:val="auto"/>
        </w:rPr>
        <w:t>activities</w:t>
      </w:r>
      <w:r w:rsidR="001B4BB2">
        <w:rPr>
          <w:color w:val="auto"/>
        </w:rPr>
        <w:t xml:space="preserve"> </w:t>
      </w:r>
      <w:r w:rsidR="001B4BB2">
        <w:t>(</w:t>
      </w:r>
      <w:r w:rsidR="00652A0D">
        <w:t>see a</w:t>
      </w:r>
      <w:r w:rsidR="001B4BB2">
        <w:t xml:space="preserve">rrow </w:t>
      </w:r>
      <w:r w:rsidR="008F5A6B">
        <w:t>4</w:t>
      </w:r>
      <w:r w:rsidR="001B4BB2">
        <w:t xml:space="preserve"> in </w:t>
      </w:r>
      <w:r w:rsidR="001B4BB2">
        <w:fldChar w:fldCharType="begin"/>
      </w:r>
      <w:r w:rsidR="001B4BB2">
        <w:instrText xml:space="preserve"> REF _Ref507091362 \h </w:instrText>
      </w:r>
      <w:r w:rsidR="001B4BB2">
        <w:fldChar w:fldCharType="separate"/>
      </w:r>
      <w:r w:rsidR="00E96B43" w:rsidRPr="00000D10">
        <w:rPr>
          <w:color w:val="000000" w:themeColor="text1"/>
        </w:rPr>
        <w:t xml:space="preserve">Figure </w:t>
      </w:r>
      <w:r w:rsidR="00E96B43">
        <w:rPr>
          <w:noProof/>
          <w:color w:val="000000" w:themeColor="text1"/>
        </w:rPr>
        <w:t>5</w:t>
      </w:r>
      <w:r w:rsidR="001B4BB2">
        <w:fldChar w:fldCharType="end"/>
      </w:r>
      <w:r w:rsidR="001B4BB2">
        <w:t>)</w:t>
      </w:r>
      <w:r w:rsidR="00B524BF">
        <w:rPr>
          <w:color w:val="auto"/>
        </w:rPr>
        <w:t xml:space="preserve">, </w:t>
      </w:r>
      <w:r w:rsidR="000F4491" w:rsidRPr="000F4491">
        <w:rPr>
          <w:color w:val="auto"/>
        </w:rPr>
        <w:t xml:space="preserve">the spatial extent and magnitude of groundwater drawdown or depressurisation needs to be determined, as do any changes expected to water quality. </w:t>
      </w:r>
      <w:r w:rsidR="00F60C35">
        <w:rPr>
          <w:color w:val="auto"/>
        </w:rPr>
        <w:t>The</w:t>
      </w:r>
      <w:r w:rsidR="00F60C35" w:rsidRPr="000F4491">
        <w:rPr>
          <w:color w:val="auto"/>
        </w:rPr>
        <w:t xml:space="preserve"> </w:t>
      </w:r>
      <w:r w:rsidR="000F4491" w:rsidRPr="000F4491">
        <w:rPr>
          <w:color w:val="auto"/>
        </w:rPr>
        <w:t>vulnerability</w:t>
      </w:r>
      <w:r w:rsidR="00F60C35">
        <w:rPr>
          <w:color w:val="auto"/>
        </w:rPr>
        <w:t xml:space="preserve"> of each GDE</w:t>
      </w:r>
      <w:r w:rsidR="000F4491" w:rsidRPr="000F4491">
        <w:rPr>
          <w:color w:val="auto"/>
        </w:rPr>
        <w:t xml:space="preserve"> to </w:t>
      </w:r>
      <w:r w:rsidR="00880B45">
        <w:rPr>
          <w:color w:val="auto"/>
        </w:rPr>
        <w:t>predict</w:t>
      </w:r>
      <w:r w:rsidR="00525337">
        <w:rPr>
          <w:color w:val="auto"/>
        </w:rPr>
        <w:t>ed</w:t>
      </w:r>
      <w:r w:rsidR="00F60C35" w:rsidRPr="000F4491">
        <w:rPr>
          <w:color w:val="auto"/>
        </w:rPr>
        <w:t xml:space="preserve"> </w:t>
      </w:r>
      <w:r w:rsidR="000F4491" w:rsidRPr="000F4491">
        <w:rPr>
          <w:color w:val="auto"/>
        </w:rPr>
        <w:t xml:space="preserve">changes in water chemistry, volume </w:t>
      </w:r>
      <w:r w:rsidR="00F60C35">
        <w:rPr>
          <w:color w:val="auto"/>
        </w:rPr>
        <w:t>and/</w:t>
      </w:r>
      <w:r w:rsidR="000F4491" w:rsidRPr="000F4491">
        <w:rPr>
          <w:color w:val="auto"/>
        </w:rPr>
        <w:t xml:space="preserve">or pressure can then be assessed using </w:t>
      </w:r>
      <w:r w:rsidR="00F60C35">
        <w:rPr>
          <w:color w:val="auto"/>
        </w:rPr>
        <w:t xml:space="preserve">data </w:t>
      </w:r>
      <w:r w:rsidR="00525337">
        <w:rPr>
          <w:color w:val="auto"/>
        </w:rPr>
        <w:t>collated</w:t>
      </w:r>
      <w:r w:rsidR="00652A0D">
        <w:rPr>
          <w:color w:val="auto"/>
        </w:rPr>
        <w:t xml:space="preserve"> </w:t>
      </w:r>
      <w:r w:rsidR="00F60C35">
        <w:rPr>
          <w:color w:val="auto"/>
        </w:rPr>
        <w:t xml:space="preserve">for </w:t>
      </w:r>
      <w:r w:rsidR="00652A0D">
        <w:rPr>
          <w:color w:val="auto"/>
        </w:rPr>
        <w:t>each</w:t>
      </w:r>
      <w:r w:rsidR="000F4491" w:rsidRPr="000F4491">
        <w:rPr>
          <w:color w:val="auto"/>
        </w:rPr>
        <w:t xml:space="preserve"> </w:t>
      </w:r>
      <w:r w:rsidR="00F60C35">
        <w:rPr>
          <w:color w:val="auto"/>
        </w:rPr>
        <w:t>GDE</w:t>
      </w:r>
      <w:r w:rsidR="000F4491" w:rsidRPr="000F4491">
        <w:rPr>
          <w:color w:val="auto"/>
        </w:rPr>
        <w:t xml:space="preserve"> in the project impact area. </w:t>
      </w:r>
      <w:r w:rsidR="00607149">
        <w:rPr>
          <w:color w:val="auto"/>
        </w:rPr>
        <w:t xml:space="preserve">Monitoring programs and </w:t>
      </w:r>
      <w:r>
        <w:rPr>
          <w:color w:val="auto"/>
        </w:rPr>
        <w:t xml:space="preserve">conceptual </w:t>
      </w:r>
      <w:r w:rsidR="00607149">
        <w:rPr>
          <w:color w:val="auto"/>
        </w:rPr>
        <w:t>modelling</w:t>
      </w:r>
      <w:r>
        <w:rPr>
          <w:color w:val="auto"/>
        </w:rPr>
        <w:t xml:space="preserve"> of causal pathways</w:t>
      </w:r>
      <w:r w:rsidR="00607149">
        <w:rPr>
          <w:color w:val="auto"/>
        </w:rPr>
        <w:t xml:space="preserve"> </w:t>
      </w:r>
      <w:r w:rsidR="00652A0D">
        <w:rPr>
          <w:color w:val="auto"/>
        </w:rPr>
        <w:t>(</w:t>
      </w:r>
      <w:r w:rsidR="00880B45">
        <w:rPr>
          <w:color w:val="auto"/>
        </w:rPr>
        <w:t>s</w:t>
      </w:r>
      <w:r w:rsidR="00652A0D">
        <w:rPr>
          <w:color w:val="auto"/>
        </w:rPr>
        <w:t xml:space="preserve">ection 3.1) </w:t>
      </w:r>
      <w:r w:rsidR="00607149">
        <w:rPr>
          <w:color w:val="auto"/>
        </w:rPr>
        <w:t xml:space="preserve">are </w:t>
      </w:r>
      <w:r w:rsidR="00FD1ECB">
        <w:rPr>
          <w:color w:val="auto"/>
        </w:rPr>
        <w:t>critical</w:t>
      </w:r>
      <w:r w:rsidR="00607149">
        <w:rPr>
          <w:color w:val="auto"/>
        </w:rPr>
        <w:t xml:space="preserve"> for defining how GDEs are likely to respond to groundwater system</w:t>
      </w:r>
      <w:r w:rsidR="00652A0D">
        <w:rPr>
          <w:color w:val="auto"/>
        </w:rPr>
        <w:t xml:space="preserve"> threats</w:t>
      </w:r>
      <w:r w:rsidR="00607149">
        <w:rPr>
          <w:color w:val="auto"/>
        </w:rPr>
        <w:t xml:space="preserve">. </w:t>
      </w:r>
    </w:p>
    <w:p w14:paraId="31C8BC62" w14:textId="77777777" w:rsidR="005668CB" w:rsidRPr="00D3494F" w:rsidRDefault="00652A0D" w:rsidP="005668CB">
      <w:pPr>
        <w:pStyle w:val="BodyText"/>
        <w:rPr>
          <w:color w:val="auto"/>
        </w:rPr>
      </w:pPr>
      <w:r>
        <w:t>Prior to</w:t>
      </w:r>
      <w:r w:rsidR="00E81A07" w:rsidRPr="00A44774">
        <w:t xml:space="preserve"> commencement of activities</w:t>
      </w:r>
      <w:r w:rsidR="00E81A07">
        <w:t xml:space="preserve"> that may affect groundwater regime and water quality</w:t>
      </w:r>
      <w:r w:rsidR="00E81A07" w:rsidRPr="00A44774">
        <w:t xml:space="preserve">, it is critical to establish the baseline ecological and hydrological conditions within and outside the </w:t>
      </w:r>
      <w:r w:rsidR="009F4723">
        <w:t xml:space="preserve">project </w:t>
      </w:r>
      <w:r w:rsidR="00F60C35">
        <w:t xml:space="preserve">impact </w:t>
      </w:r>
      <w:r w:rsidR="009F4723">
        <w:t>area</w:t>
      </w:r>
      <w:r w:rsidR="00E81A07" w:rsidRPr="00A44774">
        <w:t xml:space="preserve"> to ensure that changes due to </w:t>
      </w:r>
      <w:r w:rsidR="002A6273">
        <w:t>CSG or LCM activities</w:t>
      </w:r>
      <w:r w:rsidR="00E81A07" w:rsidRPr="00A44774">
        <w:t xml:space="preserve"> can be distinguished from </w:t>
      </w:r>
      <w:r w:rsidR="00F60C35">
        <w:t xml:space="preserve">those due to </w:t>
      </w:r>
      <w:r w:rsidR="00E81A07" w:rsidRPr="00A44774">
        <w:t>natural variability</w:t>
      </w:r>
      <w:r w:rsidR="00E81A07">
        <w:t xml:space="preserve"> and climate change</w:t>
      </w:r>
      <w:r w:rsidR="00E81A07" w:rsidRPr="00A44774">
        <w:t>.</w:t>
      </w:r>
      <w:r w:rsidR="005668CB" w:rsidRPr="00A44774">
        <w:t xml:space="preserve"> This can be achieved using a combination of </w:t>
      </w:r>
      <w:r w:rsidR="005668CB" w:rsidRPr="00A44774">
        <w:rPr>
          <w:color w:val="auto"/>
        </w:rPr>
        <w:t xml:space="preserve">published </w:t>
      </w:r>
      <w:r w:rsidR="00F60C35">
        <w:rPr>
          <w:color w:val="auto"/>
        </w:rPr>
        <w:t xml:space="preserve">and unpublished </w:t>
      </w:r>
      <w:r w:rsidR="005668CB" w:rsidRPr="00A44774">
        <w:rPr>
          <w:color w:val="auto"/>
        </w:rPr>
        <w:t xml:space="preserve">reports, databases, remote sensing </w:t>
      </w:r>
      <w:r w:rsidR="005668CB">
        <w:rPr>
          <w:color w:val="auto"/>
        </w:rPr>
        <w:t>and</w:t>
      </w:r>
      <w:r w:rsidR="005668CB" w:rsidRPr="00A44774">
        <w:rPr>
          <w:color w:val="auto"/>
        </w:rPr>
        <w:t xml:space="preserve"> field </w:t>
      </w:r>
      <w:r w:rsidR="005668CB" w:rsidRPr="00D3494F">
        <w:rPr>
          <w:color w:val="auto"/>
        </w:rPr>
        <w:t>assessment</w:t>
      </w:r>
      <w:r w:rsidR="000B3864" w:rsidRPr="00D3494F">
        <w:rPr>
          <w:color w:val="auto"/>
        </w:rPr>
        <w:t xml:space="preserve"> (see </w:t>
      </w:r>
      <w:r w:rsidR="00F60C35">
        <w:rPr>
          <w:color w:val="auto"/>
        </w:rPr>
        <w:t>s</w:t>
      </w:r>
      <w:r w:rsidR="000B3864" w:rsidRPr="00D3494F">
        <w:rPr>
          <w:color w:val="auto"/>
        </w:rPr>
        <w:t xml:space="preserve">ection </w:t>
      </w:r>
      <w:r w:rsidR="009F4723">
        <w:rPr>
          <w:color w:val="auto"/>
        </w:rPr>
        <w:t>5</w:t>
      </w:r>
      <w:r w:rsidR="000B3864" w:rsidRPr="00D3494F">
        <w:rPr>
          <w:color w:val="auto"/>
        </w:rPr>
        <w:t>)</w:t>
      </w:r>
      <w:r w:rsidR="005668CB" w:rsidRPr="00D3494F">
        <w:rPr>
          <w:color w:val="auto"/>
        </w:rPr>
        <w:t>.</w:t>
      </w:r>
      <w:r w:rsidR="00E81A07">
        <w:rPr>
          <w:color w:val="auto"/>
        </w:rPr>
        <w:t xml:space="preserve"> Detailed guidelines for determining baseline condition exist for aquifer communities in Western Australia and Queensland (WA </w:t>
      </w:r>
      <w:r w:rsidR="00E81A07" w:rsidRPr="00D3494F">
        <w:rPr>
          <w:color w:val="auto"/>
        </w:rPr>
        <w:t>EPA</w:t>
      </w:r>
      <w:r w:rsidR="00880B45">
        <w:rPr>
          <w:color w:val="auto"/>
        </w:rPr>
        <w:t>,</w:t>
      </w:r>
      <w:r w:rsidR="00E81A07" w:rsidRPr="00D3494F">
        <w:rPr>
          <w:color w:val="auto"/>
        </w:rPr>
        <w:t xml:space="preserve"> </w:t>
      </w:r>
      <w:r w:rsidR="00880B45">
        <w:rPr>
          <w:color w:val="auto"/>
        </w:rPr>
        <w:t>2016;</w:t>
      </w:r>
      <w:r w:rsidR="009F4723">
        <w:rPr>
          <w:color w:val="auto"/>
        </w:rPr>
        <w:t xml:space="preserve"> DSITI</w:t>
      </w:r>
      <w:r w:rsidR="00880B45">
        <w:rPr>
          <w:color w:val="auto"/>
        </w:rPr>
        <w:t>,</w:t>
      </w:r>
      <w:r w:rsidR="009F4723">
        <w:rPr>
          <w:color w:val="auto"/>
        </w:rPr>
        <w:t xml:space="preserve"> 2014). These guidelines</w:t>
      </w:r>
      <w:r w:rsidR="00E81A07">
        <w:rPr>
          <w:color w:val="auto"/>
        </w:rPr>
        <w:t xml:space="preserve"> use </w:t>
      </w:r>
      <w:r w:rsidR="00D56113">
        <w:rPr>
          <w:color w:val="auto"/>
        </w:rPr>
        <w:t xml:space="preserve">the stygofauna community </w:t>
      </w:r>
      <w:r w:rsidR="00E81A07">
        <w:rPr>
          <w:color w:val="auto"/>
        </w:rPr>
        <w:t>a</w:t>
      </w:r>
      <w:r w:rsidR="00D56113">
        <w:rPr>
          <w:color w:val="auto"/>
        </w:rPr>
        <w:t xml:space="preserve">s the main biological indicator </w:t>
      </w:r>
      <w:r w:rsidR="009F4723">
        <w:rPr>
          <w:color w:val="auto"/>
        </w:rPr>
        <w:t>to</w:t>
      </w:r>
      <w:r w:rsidR="00E81A07">
        <w:rPr>
          <w:color w:val="auto"/>
        </w:rPr>
        <w:t xml:space="preserve"> </w:t>
      </w:r>
      <w:r w:rsidR="00D56113">
        <w:rPr>
          <w:color w:val="auto"/>
        </w:rPr>
        <w:t>assess ecological condition</w:t>
      </w:r>
      <w:r w:rsidR="00F60C35">
        <w:rPr>
          <w:color w:val="auto"/>
        </w:rPr>
        <w:t xml:space="preserve"> of aquifers</w:t>
      </w:r>
      <w:r w:rsidR="00D56113">
        <w:rPr>
          <w:color w:val="auto"/>
        </w:rPr>
        <w:t xml:space="preserve">. </w:t>
      </w:r>
    </w:p>
    <w:p w14:paraId="31C8BC63" w14:textId="77777777" w:rsidR="004A2E1B" w:rsidRPr="008D610A" w:rsidRDefault="004A2E1B" w:rsidP="00F3119C">
      <w:pPr>
        <w:pStyle w:val="Heading2"/>
      </w:pPr>
      <w:bookmarkStart w:id="55" w:name="_Toc509996478"/>
      <w:bookmarkEnd w:id="37"/>
      <w:r w:rsidRPr="008D610A">
        <w:t xml:space="preserve">Requirements for </w:t>
      </w:r>
      <w:r w:rsidRPr="002C7881">
        <w:rPr>
          <w:rStyle w:val="Heading2Char"/>
        </w:rPr>
        <w:t>GDE field</w:t>
      </w:r>
      <w:r w:rsidRPr="008D610A">
        <w:t xml:space="preserve"> surveys</w:t>
      </w:r>
      <w:bookmarkEnd w:id="55"/>
    </w:p>
    <w:p w14:paraId="31C8BC64" w14:textId="77777777" w:rsidR="004A2E1B" w:rsidRDefault="00BD0CD7" w:rsidP="004A2E1B">
      <w:pPr>
        <w:pStyle w:val="BodyText"/>
      </w:pPr>
      <w:r w:rsidRPr="00BD0CD7">
        <w:rPr>
          <w:noProof/>
        </w:rPr>
        <w:drawing>
          <wp:anchor distT="0" distB="0" distL="114300" distR="114300" simplePos="0" relativeHeight="251902464" behindDoc="0" locked="0" layoutInCell="1" allowOverlap="1" wp14:anchorId="31C8C2F6" wp14:editId="31C8C2F7">
            <wp:simplePos x="0" y="0"/>
            <wp:positionH relativeFrom="margin">
              <wp:align>left</wp:align>
            </wp:positionH>
            <wp:positionV relativeFrom="paragraph">
              <wp:posOffset>6350</wp:posOffset>
            </wp:positionV>
            <wp:extent cx="1689100" cy="2543175"/>
            <wp:effectExtent l="0" t="0" r="6350" b="9525"/>
            <wp:wrapThrough wrapText="bothSides">
              <wp:wrapPolygon edited="0">
                <wp:start x="0" y="0"/>
                <wp:lineTo x="0" y="21519"/>
                <wp:lineTo x="21438" y="21519"/>
                <wp:lineTo x="21438" y="0"/>
                <wp:lineTo x="0" y="0"/>
              </wp:wrapPolygon>
            </wp:wrapThrough>
            <wp:docPr id="50" name="Picture 3" descr="E:\Backed_Up_Photos\MODIFIED\2011\02_2011\Feb15_11_Yanga\DSC_9696v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E:\Backed_Up_Photos\MODIFIED\2011\02_2011\Feb15_11_Yanga\DSC_9696v1web.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689100" cy="2543175"/>
                    </a:xfrm>
                    <a:prstGeom prst="rect">
                      <a:avLst/>
                    </a:prstGeom>
                    <a:noFill/>
                  </pic:spPr>
                </pic:pic>
              </a:graphicData>
            </a:graphic>
            <wp14:sizeRelH relativeFrom="margin">
              <wp14:pctWidth>0</wp14:pctWidth>
            </wp14:sizeRelH>
            <wp14:sizeRelV relativeFrom="margin">
              <wp14:pctHeight>0</wp14:pctHeight>
            </wp14:sizeRelV>
          </wp:anchor>
        </w:drawing>
      </w:r>
      <w:r w:rsidR="004A2E1B">
        <w:t xml:space="preserve">Field surveys of GDEs are </w:t>
      </w:r>
      <w:r w:rsidR="001D49A6">
        <w:t>required</w:t>
      </w:r>
      <w:r w:rsidR="004A2E1B">
        <w:t xml:space="preserve"> for two key purposes</w:t>
      </w:r>
      <w:r w:rsidR="00F60C35">
        <w:t>:</w:t>
      </w:r>
      <w:r w:rsidR="004A2E1B">
        <w:t xml:space="preserve"> </w:t>
      </w:r>
      <w:proofErr w:type="spellStart"/>
      <w:r w:rsidR="00880B45">
        <w:t>i</w:t>
      </w:r>
      <w:proofErr w:type="spellEnd"/>
      <w:r w:rsidR="004A2E1B">
        <w:t>) to confi</w:t>
      </w:r>
      <w:r w:rsidR="009C4ACA">
        <w:t>rm the presence</w:t>
      </w:r>
      <w:r w:rsidR="00F60C35">
        <w:t xml:space="preserve"> </w:t>
      </w:r>
      <w:r w:rsidR="009C4ACA">
        <w:t>of all</w:t>
      </w:r>
      <w:r w:rsidR="004A2E1B">
        <w:t xml:space="preserve"> potential G</w:t>
      </w:r>
      <w:r w:rsidR="001D49A6">
        <w:t xml:space="preserve">DEs in </w:t>
      </w:r>
      <w:r w:rsidR="009C4ACA">
        <w:t xml:space="preserve">the project area (ground </w:t>
      </w:r>
      <w:proofErr w:type="spellStart"/>
      <w:r w:rsidR="009C4ACA">
        <w:t>truth</w:t>
      </w:r>
      <w:r w:rsidR="00F60C35">
        <w:t>ing</w:t>
      </w:r>
      <w:proofErr w:type="spellEnd"/>
      <w:r w:rsidR="009C4ACA">
        <w:t>),</w:t>
      </w:r>
      <w:r w:rsidR="004A2E1B">
        <w:t xml:space="preserve"> select reference</w:t>
      </w:r>
      <w:r w:rsidR="001D49A6">
        <w:t xml:space="preserve"> sites </w:t>
      </w:r>
      <w:r w:rsidR="004A2E1B">
        <w:t xml:space="preserve">outside the </w:t>
      </w:r>
      <w:r w:rsidR="001D49A6">
        <w:t xml:space="preserve">project </w:t>
      </w:r>
      <w:r w:rsidR="004A2E1B">
        <w:t xml:space="preserve">impact area, and assess the baseline condition of GDEs; </w:t>
      </w:r>
      <w:r w:rsidR="00F60C35">
        <w:t xml:space="preserve">and </w:t>
      </w:r>
      <w:r w:rsidR="00880B45">
        <w:t>ii</w:t>
      </w:r>
      <w:r w:rsidR="004A2E1B">
        <w:t xml:space="preserve">) to </w:t>
      </w:r>
      <w:r w:rsidR="00F60C35">
        <w:t>identify a representative</w:t>
      </w:r>
      <w:r w:rsidR="004A2E1B">
        <w:t xml:space="preserve"> subset of GDEs </w:t>
      </w:r>
      <w:r w:rsidR="00F60C35">
        <w:t xml:space="preserve">to use </w:t>
      </w:r>
      <w:r w:rsidR="004A2E1B">
        <w:t xml:space="preserve">for </w:t>
      </w:r>
      <w:r w:rsidR="00F60C35">
        <w:t xml:space="preserve">detecting </w:t>
      </w:r>
      <w:r w:rsidR="004A2E1B">
        <w:t xml:space="preserve">impacts and </w:t>
      </w:r>
      <w:r w:rsidR="00F60C35">
        <w:t xml:space="preserve">monitoring </w:t>
      </w:r>
      <w:r w:rsidR="004A2E1B">
        <w:t>the effectiveness of mitigation</w:t>
      </w:r>
      <w:r w:rsidR="00F60C35">
        <w:t xml:space="preserve"> strategies</w:t>
      </w:r>
      <w:r w:rsidR="004A2E1B">
        <w:t>.</w:t>
      </w:r>
      <w:r w:rsidRPr="00BD0CD7">
        <w:rPr>
          <w:noProof/>
        </w:rPr>
        <w:t xml:space="preserve"> </w:t>
      </w:r>
    </w:p>
    <w:p w14:paraId="31C8BC65" w14:textId="77777777" w:rsidR="004A2E1B" w:rsidRDefault="004A2E1B" w:rsidP="004A2E1B">
      <w:pPr>
        <w:pStyle w:val="BodyText"/>
      </w:pPr>
      <w:r>
        <w:t xml:space="preserve">When establishing a field survey protocol in the impact assessment phase of a </w:t>
      </w:r>
      <w:r w:rsidR="002A6273">
        <w:t>CSG or LCM</w:t>
      </w:r>
      <w:r>
        <w:t xml:space="preserve"> project, it is important the proponent considers how the sites</w:t>
      </w:r>
      <w:r w:rsidR="00F60C35">
        <w:t>, protocols</w:t>
      </w:r>
      <w:r>
        <w:t xml:space="preserve"> and sampling regime</w:t>
      </w:r>
      <w:r w:rsidR="00F60C35">
        <w:t>s</w:t>
      </w:r>
      <w:r>
        <w:t xml:space="preserve"> will be used throughout the project, </w:t>
      </w:r>
      <w:r w:rsidR="00F60C35">
        <w:t xml:space="preserve">including </w:t>
      </w:r>
      <w:r>
        <w:t>beyond completion</w:t>
      </w:r>
      <w:r w:rsidR="00F60C35">
        <w:t xml:space="preserve"> of CSG and LCM activities</w:t>
      </w:r>
      <w:r>
        <w:t xml:space="preserve">. This saves time, and will likely improve impact assessment </w:t>
      </w:r>
      <w:r w:rsidRPr="001D49A6">
        <w:t xml:space="preserve">efficiency. Ideally, GDE </w:t>
      </w:r>
      <w:r w:rsidR="001D49A6" w:rsidRPr="001D49A6">
        <w:t xml:space="preserve">data </w:t>
      </w:r>
      <w:r w:rsidRPr="001D49A6">
        <w:t>collection sites and protocols can be consistently used to (</w:t>
      </w:r>
      <w:proofErr w:type="spellStart"/>
      <w:r w:rsidRPr="001D49A6">
        <w:t>i</w:t>
      </w:r>
      <w:proofErr w:type="spellEnd"/>
      <w:r w:rsidRPr="001D49A6">
        <w:t xml:space="preserve">) establish if the ecosystem </w:t>
      </w:r>
      <w:r w:rsidR="009C4ACA">
        <w:t xml:space="preserve">is </w:t>
      </w:r>
      <w:r w:rsidR="004F60BB">
        <w:t>groundwater-dependent</w:t>
      </w:r>
      <w:r w:rsidR="009C4ACA">
        <w:t>;</w:t>
      </w:r>
      <w:r w:rsidRPr="001D49A6">
        <w:t xml:space="preserve"> (ii) determine baseline condition and ecological value</w:t>
      </w:r>
      <w:r w:rsidR="009C4ACA">
        <w:t>;</w:t>
      </w:r>
      <w:r w:rsidRPr="001D49A6">
        <w:t xml:space="preserve"> (iii) monitor for impacts during </w:t>
      </w:r>
      <w:r w:rsidR="002A6273">
        <w:t>CSG or LCM activities</w:t>
      </w:r>
      <w:r w:rsidR="009C4ACA">
        <w:t>;</w:t>
      </w:r>
      <w:r w:rsidRPr="001D49A6">
        <w:t xml:space="preserve"> </w:t>
      </w:r>
      <w:r w:rsidR="00F60C35">
        <w:t xml:space="preserve">and </w:t>
      </w:r>
      <w:proofErr w:type="gramStart"/>
      <w:r w:rsidRPr="001D49A6">
        <w:t xml:space="preserve">(iv) </w:t>
      </w:r>
      <w:r w:rsidR="007201BD">
        <w:t>where</w:t>
      </w:r>
      <w:proofErr w:type="gramEnd"/>
      <w:r w:rsidR="007201BD">
        <w:t xml:space="preserve"> applicable, </w:t>
      </w:r>
      <w:r w:rsidRPr="001D49A6">
        <w:t>asses</w:t>
      </w:r>
      <w:r w:rsidR="001D49A6" w:rsidRPr="001D49A6">
        <w:t xml:space="preserve">s GDE recovery after </w:t>
      </w:r>
      <w:r w:rsidR="002A6273">
        <w:t>operations</w:t>
      </w:r>
      <w:r w:rsidR="00F60C35">
        <w:t xml:space="preserve"> cease</w:t>
      </w:r>
      <w:r w:rsidR="001D49A6" w:rsidRPr="001D49A6">
        <w:t>. Th</w:t>
      </w:r>
      <w:r w:rsidR="002A6273">
        <w:t>is</w:t>
      </w:r>
      <w:r w:rsidRPr="001D49A6">
        <w:t xml:space="preserve"> Note</w:t>
      </w:r>
      <w:r w:rsidR="002A6273">
        <w:t xml:space="preserve"> i</w:t>
      </w:r>
      <w:r w:rsidRPr="001D49A6">
        <w:t>s concerned mostly with (</w:t>
      </w:r>
      <w:proofErr w:type="spellStart"/>
      <w:r w:rsidRPr="001D49A6">
        <w:t>i</w:t>
      </w:r>
      <w:proofErr w:type="spellEnd"/>
      <w:r w:rsidRPr="001D49A6">
        <w:t>) and (ii)</w:t>
      </w:r>
      <w:r w:rsidR="002A6273">
        <w:t xml:space="preserve"> although</w:t>
      </w:r>
      <w:r w:rsidRPr="001D49A6">
        <w:t xml:space="preserve"> proponents </w:t>
      </w:r>
      <w:r w:rsidR="007201BD">
        <w:t xml:space="preserve">should </w:t>
      </w:r>
      <w:r w:rsidR="002A6273">
        <w:t xml:space="preserve">also </w:t>
      </w:r>
      <w:r w:rsidRPr="001D49A6">
        <w:t xml:space="preserve">consider </w:t>
      </w:r>
      <w:r w:rsidR="002A6273">
        <w:t xml:space="preserve">uses (iii) and </w:t>
      </w:r>
      <w:proofErr w:type="gramStart"/>
      <w:r w:rsidR="002A6273">
        <w:t>(iv)</w:t>
      </w:r>
      <w:r w:rsidRPr="001D49A6">
        <w:t xml:space="preserve"> when</w:t>
      </w:r>
      <w:proofErr w:type="gramEnd"/>
      <w:r w:rsidRPr="001D49A6">
        <w:t xml:space="preserve"> establishing their survey routines.</w:t>
      </w:r>
    </w:p>
    <w:p w14:paraId="31C8BC66" w14:textId="77777777" w:rsidR="004A2E1B" w:rsidRPr="002208F1" w:rsidRDefault="004A2E1B" w:rsidP="00F3119C">
      <w:pPr>
        <w:pStyle w:val="Heading2"/>
      </w:pPr>
      <w:bookmarkStart w:id="56" w:name="_Toc509996479"/>
      <w:r>
        <w:lastRenderedPageBreak/>
        <w:t>Field surveys and m</w:t>
      </w:r>
      <w:r w:rsidRPr="002208F1">
        <w:t>onitoring</w:t>
      </w:r>
      <w:bookmarkEnd w:id="56"/>
    </w:p>
    <w:p w14:paraId="31C8BC67" w14:textId="77777777" w:rsidR="004A2E1B" w:rsidRDefault="006F16A7" w:rsidP="004A2E1B">
      <w:pPr>
        <w:pStyle w:val="BodyText"/>
      </w:pPr>
      <w:r>
        <w:t xml:space="preserve">As mentioned in </w:t>
      </w:r>
      <w:r w:rsidR="007201BD" w:rsidRPr="009F61CA">
        <w:t xml:space="preserve">section </w:t>
      </w:r>
      <w:r w:rsidR="009F61CA" w:rsidRPr="009F61CA">
        <w:t>5.3</w:t>
      </w:r>
      <w:r w:rsidRPr="009F61CA">
        <w:t xml:space="preserve"> f</w:t>
      </w:r>
      <w:r w:rsidR="004A2E1B" w:rsidRPr="009F61CA">
        <w:t>ield</w:t>
      </w:r>
      <w:r w:rsidR="004A2E1B" w:rsidRPr="006F13EE">
        <w:t xml:space="preserve"> surveys for GDE assessment</w:t>
      </w:r>
      <w:r w:rsidR="004A2E1B">
        <w:t xml:space="preserve"> </w:t>
      </w:r>
      <w:r>
        <w:t>are important</w:t>
      </w:r>
      <w:r w:rsidR="004A2E1B" w:rsidRPr="006F13EE">
        <w:t xml:space="preserve"> to confirm </w:t>
      </w:r>
      <w:r w:rsidR="007201BD">
        <w:t>each</w:t>
      </w:r>
      <w:r w:rsidR="007201BD" w:rsidRPr="006F13EE">
        <w:t xml:space="preserve"> </w:t>
      </w:r>
      <w:r w:rsidR="004A2E1B">
        <w:t>potential GDE i</w:t>
      </w:r>
      <w:r w:rsidR="009F61CA">
        <w:t>dentified in the desktop study</w:t>
      </w:r>
      <w:r w:rsidR="004A2E1B">
        <w:t xml:space="preserve"> </w:t>
      </w:r>
      <w:r w:rsidR="004A2E1B" w:rsidRPr="006F13EE">
        <w:t xml:space="preserve">is </w:t>
      </w:r>
      <w:r w:rsidR="004F60BB">
        <w:t>groundwater-dependent</w:t>
      </w:r>
      <w:r w:rsidR="004A2E1B" w:rsidRPr="006F13EE">
        <w:t xml:space="preserve">, and </w:t>
      </w:r>
      <w:r w:rsidR="007201BD">
        <w:t xml:space="preserve">assess </w:t>
      </w:r>
      <w:r w:rsidR="004A2E1B" w:rsidRPr="006F13EE">
        <w:t>the nature of that dependency</w:t>
      </w:r>
      <w:r w:rsidR="00042886">
        <w:t xml:space="preserve"> (s</w:t>
      </w:r>
      <w:r w:rsidR="00140DB3">
        <w:t xml:space="preserve">ection </w:t>
      </w:r>
      <w:r w:rsidR="00140DB3" w:rsidRPr="009F61CA">
        <w:t>5.</w:t>
      </w:r>
      <w:r w:rsidR="009F61CA" w:rsidRPr="009F61CA">
        <w:t>3.2</w:t>
      </w:r>
      <w:r w:rsidR="00140DB3" w:rsidRPr="009F61CA">
        <w:t>)</w:t>
      </w:r>
      <w:r w:rsidR="004A2E1B" w:rsidRPr="009F61CA">
        <w:t>.</w:t>
      </w:r>
      <w:r w:rsidR="004A2E1B" w:rsidRPr="006F13EE">
        <w:t xml:space="preserve"> This </w:t>
      </w:r>
      <w:r w:rsidR="004A2E1B">
        <w:t>allows</w:t>
      </w:r>
      <w:r w:rsidR="004A2E1B" w:rsidRPr="006F13EE">
        <w:t xml:space="preserve"> ecosystems not dependent on groundwater </w:t>
      </w:r>
      <w:r w:rsidR="004A2E1B">
        <w:t>to</w:t>
      </w:r>
      <w:r w:rsidR="004A2E1B" w:rsidRPr="006F13EE">
        <w:t xml:space="preserve"> be </w:t>
      </w:r>
      <w:r w:rsidR="001D49A6">
        <w:t>eliminated from</w:t>
      </w:r>
      <w:r w:rsidR="004A2E1B" w:rsidRPr="006F13EE">
        <w:t xml:space="preserve"> further assessment. The focus here is either to confirm that there is a connection between the ecosystem and an aquifer (in the case of GDE vegetation communities, wetland GDEs </w:t>
      </w:r>
      <w:r w:rsidR="004A2E1B" w:rsidRPr="002208F1">
        <w:t>and river</w:t>
      </w:r>
      <w:r w:rsidR="004A2E1B" w:rsidRPr="006F13EE">
        <w:t xml:space="preserve"> </w:t>
      </w:r>
      <w:proofErr w:type="spellStart"/>
      <w:r w:rsidR="004A2E1B" w:rsidRPr="006F13EE">
        <w:t>baseflows</w:t>
      </w:r>
      <w:proofErr w:type="spellEnd"/>
      <w:r w:rsidR="004A2E1B" w:rsidRPr="006F13EE">
        <w:t>) or that stygofauna</w:t>
      </w:r>
      <w:r w:rsidR="004A2E1B">
        <w:t xml:space="preserve"> are</w:t>
      </w:r>
      <w:r w:rsidR="004A2E1B" w:rsidRPr="006F13EE">
        <w:t xml:space="preserve"> present (for aquifer ecosystems). </w:t>
      </w:r>
      <w:r w:rsidR="004A2E1B">
        <w:t>Field</w:t>
      </w:r>
      <w:r w:rsidR="007201BD">
        <w:t>-</w:t>
      </w:r>
      <w:r w:rsidR="004A2E1B">
        <w:t>based tools are summarised in</w:t>
      </w:r>
      <w:r w:rsidR="002A4820">
        <w:t xml:space="preserve"> </w:t>
      </w:r>
      <w:r w:rsidR="002A4820">
        <w:fldChar w:fldCharType="begin"/>
      </w:r>
      <w:r w:rsidR="002A4820">
        <w:instrText xml:space="preserve"> REF _Ref509649878 \h </w:instrText>
      </w:r>
      <w:r w:rsidR="002A4820">
        <w:fldChar w:fldCharType="separate"/>
      </w:r>
      <w:r w:rsidR="00E96B43">
        <w:t xml:space="preserve">Table </w:t>
      </w:r>
      <w:r w:rsidR="00E96B43">
        <w:rPr>
          <w:noProof/>
        </w:rPr>
        <w:t>2</w:t>
      </w:r>
      <w:r w:rsidR="002A4820">
        <w:fldChar w:fldCharType="end"/>
      </w:r>
      <w:r w:rsidR="002A4820">
        <w:t xml:space="preserve"> and</w:t>
      </w:r>
      <w:r w:rsidR="004A2E1B">
        <w:t xml:space="preserve"> </w:t>
      </w:r>
      <w:r w:rsidR="004A2E1B">
        <w:rPr>
          <w:highlight w:val="green"/>
        </w:rPr>
        <w:fldChar w:fldCharType="begin"/>
      </w:r>
      <w:r w:rsidR="004A2E1B">
        <w:instrText xml:space="preserve"> REF _Ref507707870 \h </w:instrText>
      </w:r>
      <w:r w:rsidR="004A2E1B">
        <w:rPr>
          <w:highlight w:val="green"/>
        </w:rPr>
      </w:r>
      <w:r w:rsidR="004A2E1B">
        <w:rPr>
          <w:highlight w:val="green"/>
        </w:rPr>
        <w:fldChar w:fldCharType="separate"/>
      </w:r>
      <w:r w:rsidR="00E96B43">
        <w:t xml:space="preserve">App Table </w:t>
      </w:r>
      <w:r w:rsidR="00E96B43">
        <w:rPr>
          <w:noProof/>
        </w:rPr>
        <w:t>2</w:t>
      </w:r>
      <w:r w:rsidR="004A2E1B">
        <w:rPr>
          <w:highlight w:val="green"/>
        </w:rPr>
        <w:fldChar w:fldCharType="end"/>
      </w:r>
      <w:r w:rsidR="004A2E1B">
        <w:t>.</w:t>
      </w:r>
    </w:p>
    <w:p w14:paraId="31C8BC68" w14:textId="77777777" w:rsidR="004A2E1B" w:rsidRDefault="006B5901" w:rsidP="004A2E1B">
      <w:pPr>
        <w:pStyle w:val="BodyText"/>
      </w:pPr>
      <w:r w:rsidRPr="007F508D">
        <w:rPr>
          <w:noProof/>
        </w:rPr>
        <w:drawing>
          <wp:anchor distT="0" distB="0" distL="114300" distR="114300" simplePos="0" relativeHeight="251871744" behindDoc="1" locked="0" layoutInCell="1" allowOverlap="1" wp14:anchorId="31C8C2F8" wp14:editId="31C8C2F9">
            <wp:simplePos x="0" y="0"/>
            <wp:positionH relativeFrom="margin">
              <wp:align>left</wp:align>
            </wp:positionH>
            <wp:positionV relativeFrom="page">
              <wp:posOffset>591820</wp:posOffset>
            </wp:positionV>
            <wp:extent cx="1269365" cy="6167120"/>
            <wp:effectExtent l="0" t="0" r="6985" b="5080"/>
            <wp:wrapTight wrapText="bothSides">
              <wp:wrapPolygon edited="0">
                <wp:start x="0" y="0"/>
                <wp:lineTo x="0" y="21551"/>
                <wp:lineTo x="21395" y="21551"/>
                <wp:lineTo x="21395" y="0"/>
                <wp:lineTo x="0" y="0"/>
              </wp:wrapPolygon>
            </wp:wrapTight>
            <wp:docPr id="18442" name="Picture 6" descr="E:\Photos\Mallee\Mallee 118 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6" descr="E:\Photos\Mallee\Mallee 118 W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269365" cy="6167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A2E1B" w:rsidRPr="006F13EE">
        <w:t xml:space="preserve">The second purpose of </w:t>
      </w:r>
      <w:r w:rsidR="004A2E1B">
        <w:t xml:space="preserve">pre-development </w:t>
      </w:r>
      <w:r w:rsidR="004A2E1B" w:rsidRPr="006F13EE">
        <w:t>field surveys</w:t>
      </w:r>
      <w:r w:rsidR="004A2E1B">
        <w:t xml:space="preserve"> </w:t>
      </w:r>
      <w:r w:rsidR="004A2E1B" w:rsidRPr="006F13EE">
        <w:t>is to establish the baseline condition</w:t>
      </w:r>
      <w:r w:rsidR="004A2E1B">
        <w:t xml:space="preserve"> and ecological value</w:t>
      </w:r>
      <w:r w:rsidR="004A2E1B" w:rsidRPr="006F13EE">
        <w:t xml:space="preserve"> of the ecosystem</w:t>
      </w:r>
      <w:r w:rsidR="004A2E1B">
        <w:t xml:space="preserve"> once it has been confirmed as a GDE. If the ecosystem is listed as threatened under state or federal legislation, or if it contains species or populations that are</w:t>
      </w:r>
      <w:r w:rsidR="007201BD">
        <w:t xml:space="preserve"> listed</w:t>
      </w:r>
      <w:r w:rsidR="004A2E1B">
        <w:t>, then its value is</w:t>
      </w:r>
      <w:r w:rsidR="001D49A6">
        <w:t xml:space="preserve"> considered as</w:t>
      </w:r>
      <w:r w:rsidR="004A2E1B">
        <w:t xml:space="preserve"> high. Other benchmarks for value include biodiversity</w:t>
      </w:r>
      <w:r w:rsidR="007201BD">
        <w:t>,</w:t>
      </w:r>
      <w:r w:rsidR="004A2E1B">
        <w:t xml:space="preserve"> how common the ecosystem type is throughout the landscape</w:t>
      </w:r>
      <w:r w:rsidR="007201BD">
        <w:t>,</w:t>
      </w:r>
      <w:r w:rsidR="004A2E1B">
        <w:t xml:space="preserve"> its spatial extent</w:t>
      </w:r>
      <w:r w:rsidR="007201BD">
        <w:t>,</w:t>
      </w:r>
      <w:r w:rsidR="004A2E1B">
        <w:t xml:space="preserve"> the ecosystem services it provides and whether it contains endem</w:t>
      </w:r>
      <w:r w:rsidR="007B7500">
        <w:t xml:space="preserve">ic species (Serov et al., 2012; </w:t>
      </w:r>
      <w:r w:rsidR="004A2E1B">
        <w:t>see Section</w:t>
      </w:r>
      <w:r w:rsidR="001D49A6">
        <w:t xml:space="preserve"> 2.2</w:t>
      </w:r>
      <w:r w:rsidR="004A2E1B">
        <w:t xml:space="preserve">). </w:t>
      </w:r>
    </w:p>
    <w:p w14:paraId="31C8BC69" w14:textId="77777777" w:rsidR="004A2E1B" w:rsidRDefault="007201BD" w:rsidP="004A2E1B">
      <w:pPr>
        <w:pStyle w:val="BodyText"/>
      </w:pPr>
      <w:r>
        <w:t>S</w:t>
      </w:r>
      <w:r w:rsidR="004A2E1B">
        <w:t xml:space="preserve">ufficient understanding of baseline conditions </w:t>
      </w:r>
      <w:r>
        <w:t xml:space="preserve">is essential </w:t>
      </w:r>
      <w:r w:rsidR="004A2E1B">
        <w:t xml:space="preserve">so </w:t>
      </w:r>
      <w:r>
        <w:t xml:space="preserve">that </w:t>
      </w:r>
      <w:r w:rsidR="004A2E1B">
        <w:t xml:space="preserve">benchmarks can be set for future comparisons once </w:t>
      </w:r>
      <w:r w:rsidR="002A6273">
        <w:t>CSG or LCM activities</w:t>
      </w:r>
      <w:r w:rsidR="004A2E1B">
        <w:t xml:space="preserve"> commence. Groundwater dependence changes </w:t>
      </w:r>
      <w:r w:rsidR="00277EE0">
        <w:t>spatially and temporally</w:t>
      </w:r>
      <w:r>
        <w:t>. Therefore</w:t>
      </w:r>
      <w:r w:rsidR="004A2E1B">
        <w:t xml:space="preserve">, to estimate natural variability, baseline sampling needs to be sufficiently replicated within an ecosystem type (e.g. at several locations in a vegetation community, wetland system or an aquifer) and data should be collected more than once, with one survey occurring at or near the time of optimal groundwater dependence. </w:t>
      </w:r>
    </w:p>
    <w:p w14:paraId="31C8BC6A" w14:textId="77777777" w:rsidR="004A2E1B" w:rsidRDefault="004A2E1B" w:rsidP="004A2E1B">
      <w:pPr>
        <w:pStyle w:val="BodyText"/>
      </w:pPr>
      <w:r>
        <w:t xml:space="preserve">Proponents must also establish reference sites outside the expected impact area. Doing so indicates whether changes observed across GDEs in the impact area exceed changes in the broader </w:t>
      </w:r>
      <w:r w:rsidR="008F5A6B">
        <w:t>region which</w:t>
      </w:r>
      <w:r>
        <w:t xml:space="preserve"> may be explained by climate variability or other sources of variability.   </w:t>
      </w:r>
    </w:p>
    <w:p w14:paraId="31C8BC6B" w14:textId="77777777" w:rsidR="00E8000A" w:rsidRDefault="004A2E1B" w:rsidP="004A2E1B">
      <w:pPr>
        <w:pStyle w:val="BodyText"/>
      </w:pPr>
      <w:r>
        <w:t>A key consideration for sampling in the ‘impact assessment’ phase of a project is how it will be used to inform monitoring during the operational and post-operational phases. The type of data</w:t>
      </w:r>
      <w:r w:rsidR="007201BD">
        <w:t xml:space="preserve"> and</w:t>
      </w:r>
      <w:r>
        <w:t xml:space="preserve"> how, when, and where it is collected </w:t>
      </w:r>
      <w:r w:rsidR="007201BD">
        <w:t xml:space="preserve">during </w:t>
      </w:r>
      <w:r>
        <w:t xml:space="preserve">the initial stages of a monitoring program will need to be </w:t>
      </w:r>
      <w:r w:rsidR="007201BD">
        <w:t xml:space="preserve">compatible </w:t>
      </w:r>
      <w:r>
        <w:t xml:space="preserve">with future surveys designed to detect changes from impacts. Preference should be given in the ‘impact assessment’ phase to choosing sites that can be included in subsequent monitoring programs throughout the life of a project. During the early stages of field surveying, the proponent can sample intensively to identify redundancies in sites and variables, and then refine these to a </w:t>
      </w:r>
      <w:r w:rsidR="007201BD">
        <w:t xml:space="preserve">representative </w:t>
      </w:r>
      <w:r>
        <w:t xml:space="preserve">subset </w:t>
      </w:r>
      <w:r w:rsidR="007201BD">
        <w:t xml:space="preserve">of sites and variables for efficient </w:t>
      </w:r>
      <w:r>
        <w:t>long-term</w:t>
      </w:r>
      <w:r w:rsidR="00277EE0">
        <w:t xml:space="preserve"> monitoring</w:t>
      </w:r>
      <w:r>
        <w:t>.</w:t>
      </w:r>
    </w:p>
    <w:p w14:paraId="31C8BC6C" w14:textId="77777777" w:rsidR="004A2E1B" w:rsidRDefault="004A2E1B" w:rsidP="00F3119C">
      <w:pPr>
        <w:pStyle w:val="Heading2"/>
      </w:pPr>
      <w:bookmarkStart w:id="57" w:name="_Toc509996480"/>
      <w:r>
        <w:t>Site selection</w:t>
      </w:r>
      <w:bookmarkEnd w:id="57"/>
    </w:p>
    <w:p w14:paraId="31C8BC6D" w14:textId="77777777" w:rsidR="004A2E1B" w:rsidRDefault="00FF6DC0" w:rsidP="004A2E1B">
      <w:pPr>
        <w:pStyle w:val="BodyText"/>
      </w:pPr>
      <w:r>
        <w:rPr>
          <w:noProof/>
        </w:rPr>
        <w:drawing>
          <wp:anchor distT="0" distB="0" distL="114300" distR="114300" simplePos="0" relativeHeight="251870720" behindDoc="0" locked="0" layoutInCell="1" allowOverlap="1" wp14:anchorId="31C8C2FA" wp14:editId="31C8C2FB">
            <wp:simplePos x="0" y="0"/>
            <wp:positionH relativeFrom="margin">
              <wp:align>right</wp:align>
            </wp:positionH>
            <wp:positionV relativeFrom="paragraph">
              <wp:posOffset>231775</wp:posOffset>
            </wp:positionV>
            <wp:extent cx="2125980" cy="1464945"/>
            <wp:effectExtent l="0" t="0" r="7620" b="1905"/>
            <wp:wrapSquare wrapText="bothSides"/>
            <wp:docPr id="2" name="Picture 2" descr="N:\Projects\17ARM\8960 GDE paper for IESC on CSG and large Coal mining\pics\Stygo sampling w 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s\17ARM\8960 GDE paper for IESC on CSG and large Coal mining\pics\Stygo sampling w net.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125980" cy="146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E1B" w:rsidRPr="006F13EE">
        <w:t xml:space="preserve">To assess the condition </w:t>
      </w:r>
      <w:r w:rsidR="004A2E1B">
        <w:t>and</w:t>
      </w:r>
      <w:r w:rsidR="004A2E1B" w:rsidRPr="006F13EE">
        <w:t xml:space="preserve"> value of GDE</w:t>
      </w:r>
      <w:r w:rsidR="004A2E1B">
        <w:t>s</w:t>
      </w:r>
      <w:r w:rsidR="00BB1DD0">
        <w:t xml:space="preserve"> in the early phase of an EIA</w:t>
      </w:r>
      <w:r w:rsidR="004A2E1B" w:rsidRPr="006F13EE">
        <w:t xml:space="preserve">, sites need to be selected that are representative of </w:t>
      </w:r>
      <w:r w:rsidR="004A2E1B">
        <w:t xml:space="preserve">the GDE types that exist within the </w:t>
      </w:r>
      <w:r w:rsidR="00277EE0">
        <w:t xml:space="preserve">project </w:t>
      </w:r>
      <w:r w:rsidR="004A2E1B">
        <w:t>impact</w:t>
      </w:r>
      <w:r w:rsidR="00277EE0">
        <w:t xml:space="preserve"> area</w:t>
      </w:r>
      <w:r w:rsidR="004A2E1B" w:rsidRPr="006F13EE">
        <w:t>.</w:t>
      </w:r>
      <w:r w:rsidR="004A2E1B">
        <w:t xml:space="preserve"> </w:t>
      </w:r>
      <w:r w:rsidR="00277EE0">
        <w:t>For</w:t>
      </w:r>
      <w:r w:rsidR="004A2E1B" w:rsidRPr="006F13EE">
        <w:t xml:space="preserve"> example, sampling locations for aquifer ecosystems should initially focus on areas where stygofauna are most </w:t>
      </w:r>
      <w:r w:rsidR="004A2E1B">
        <w:t>likely</w:t>
      </w:r>
      <w:r w:rsidR="00120A1A">
        <w:t xml:space="preserve"> </w:t>
      </w:r>
      <w:r w:rsidR="004A2E1B" w:rsidRPr="001F26CB">
        <w:t xml:space="preserve">and attempt to cover as much of this </w:t>
      </w:r>
      <w:r w:rsidR="009A576E">
        <w:t>GDE</w:t>
      </w:r>
      <w:r w:rsidR="009A576E" w:rsidRPr="001F26CB">
        <w:t xml:space="preserve"> </w:t>
      </w:r>
      <w:r w:rsidR="004A2E1B" w:rsidRPr="001F26CB">
        <w:t xml:space="preserve">as possible. However, stygofauna surveys usually rely on access </w:t>
      </w:r>
      <w:r w:rsidR="004A2E1B">
        <w:t>to</w:t>
      </w:r>
      <w:r w:rsidR="009E3505">
        <w:t xml:space="preserve"> an already </w:t>
      </w:r>
      <w:r w:rsidR="004A2E1B" w:rsidRPr="001F26CB">
        <w:t>existing bore network which limits</w:t>
      </w:r>
      <w:r w:rsidR="00277EE0">
        <w:t xml:space="preserve"> where samples can be collected</w:t>
      </w:r>
      <w:r w:rsidR="004A2E1B" w:rsidRPr="001F26CB">
        <w:t xml:space="preserve"> and the number of suitable bores available to each aquifer type (</w:t>
      </w:r>
      <w:r w:rsidR="004A2E1B" w:rsidRPr="006D49BF">
        <w:t xml:space="preserve">CASE STUDY </w:t>
      </w:r>
      <w:r w:rsidR="009E3505">
        <w:t>5</w:t>
      </w:r>
      <w:r w:rsidR="007B7500">
        <w:t xml:space="preserve">; </w:t>
      </w:r>
      <w:r w:rsidR="007B7500">
        <w:rPr>
          <w:color w:val="auto"/>
        </w:rPr>
        <w:fldChar w:fldCharType="begin"/>
      </w:r>
      <w:r w:rsidR="007B7500">
        <w:instrText xml:space="preserve"> REF _Ref509778286 \h </w:instrText>
      </w:r>
      <w:r w:rsidR="007B7500">
        <w:rPr>
          <w:color w:val="auto"/>
        </w:rPr>
      </w:r>
      <w:r w:rsidR="007B7500">
        <w:rPr>
          <w:color w:val="auto"/>
        </w:rPr>
        <w:fldChar w:fldCharType="separate"/>
      </w:r>
      <w:r w:rsidR="00E96B43">
        <w:t xml:space="preserve">App Table </w:t>
      </w:r>
      <w:r w:rsidR="00E96B43">
        <w:rPr>
          <w:noProof/>
        </w:rPr>
        <w:t>8</w:t>
      </w:r>
      <w:r w:rsidR="007B7500">
        <w:rPr>
          <w:color w:val="auto"/>
        </w:rPr>
        <w:fldChar w:fldCharType="end"/>
      </w:r>
      <w:r w:rsidR="004A2E1B" w:rsidRPr="001F26CB">
        <w:t>).</w:t>
      </w:r>
      <w:r w:rsidR="004A2E1B">
        <w:t xml:space="preserve"> </w:t>
      </w:r>
    </w:p>
    <w:p w14:paraId="31C8BC6E" w14:textId="77777777" w:rsidR="00490A72" w:rsidRDefault="00490A72" w:rsidP="008D610A">
      <w:pPr>
        <w:pStyle w:val="BodyText"/>
      </w:pPr>
      <w:r>
        <w:t>Preferably, GDE survey sites should be located close to existin</w:t>
      </w:r>
      <w:r w:rsidR="003A75B8">
        <w:t>g groundwater monitoring bores as</w:t>
      </w:r>
      <w:r>
        <w:t xml:space="preserve"> groundwater data is critical to understanding the specific nature of the </w:t>
      </w:r>
      <w:r w:rsidR="001630D9">
        <w:t>groundwater and GDE</w:t>
      </w:r>
      <w:r>
        <w:t xml:space="preserve"> </w:t>
      </w:r>
      <w:r>
        <w:lastRenderedPageBreak/>
        <w:t>interaction. If no monitoring bores</w:t>
      </w:r>
      <w:r w:rsidR="003A75B8">
        <w:t xml:space="preserve"> are</w:t>
      </w:r>
      <w:r>
        <w:t xml:space="preserve"> near a GDE, </w:t>
      </w:r>
      <w:r w:rsidR="009A576E">
        <w:t xml:space="preserve">especially a high-value one, </w:t>
      </w:r>
      <w:r>
        <w:t xml:space="preserve">they should be installed and monitored in conjunction with the GDE. </w:t>
      </w:r>
    </w:p>
    <w:p w14:paraId="31C8BC6F" w14:textId="77777777" w:rsidR="00716A63" w:rsidRDefault="008D610A" w:rsidP="008D610A">
      <w:pPr>
        <w:pStyle w:val="BodyText"/>
      </w:pPr>
      <w:r w:rsidRPr="006F13EE">
        <w:t xml:space="preserve">If sites are selected for the purpose of detecting a </w:t>
      </w:r>
      <w:r w:rsidR="00716A63">
        <w:t xml:space="preserve">future </w:t>
      </w:r>
      <w:r w:rsidRPr="006F13EE">
        <w:t xml:space="preserve">potential impact, such as </w:t>
      </w:r>
      <w:proofErr w:type="spellStart"/>
      <w:r w:rsidR="00AB6B3E">
        <w:t>watertable</w:t>
      </w:r>
      <w:proofErr w:type="spellEnd"/>
      <w:r w:rsidRPr="006F13EE">
        <w:t xml:space="preserve"> drawdown, then sampling points should be within </w:t>
      </w:r>
      <w:r w:rsidR="006E25F9">
        <w:t>the</w:t>
      </w:r>
      <w:r w:rsidR="006E25F9" w:rsidRPr="006F13EE">
        <w:t xml:space="preserve"> </w:t>
      </w:r>
      <w:r w:rsidRPr="006F13EE">
        <w:t>region where the impact is likely to occur</w:t>
      </w:r>
      <w:r w:rsidR="006E25F9">
        <w:t xml:space="preserve"> but also</w:t>
      </w:r>
      <w:r w:rsidR="001630D9">
        <w:t xml:space="preserve"> include suitable equivalent reference </w:t>
      </w:r>
      <w:r w:rsidR="006E25F9">
        <w:t xml:space="preserve">sites </w:t>
      </w:r>
      <w:r w:rsidR="001630D9">
        <w:t xml:space="preserve">outside the likely </w:t>
      </w:r>
      <w:r w:rsidR="00277EE0">
        <w:t xml:space="preserve">project </w:t>
      </w:r>
      <w:r w:rsidR="001630D9">
        <w:t>impact area</w:t>
      </w:r>
      <w:r w:rsidRPr="006F13EE">
        <w:t>.</w:t>
      </w:r>
      <w:r w:rsidR="00716A63">
        <w:t xml:space="preserve"> </w:t>
      </w:r>
    </w:p>
    <w:p w14:paraId="31C8BC70" w14:textId="77777777" w:rsidR="008D610A" w:rsidRDefault="005502DF" w:rsidP="008D610A">
      <w:pPr>
        <w:pStyle w:val="BodyText"/>
      </w:pPr>
      <w:r>
        <w:t>The short time o</w:t>
      </w:r>
      <w:r w:rsidR="00BB1DD0">
        <w:t>ver which EIA</w:t>
      </w:r>
      <w:r w:rsidR="001630D9">
        <w:t xml:space="preserve"> data is </w:t>
      </w:r>
      <w:r w:rsidR="006E25F9">
        <w:t xml:space="preserve">usually </w:t>
      </w:r>
      <w:r w:rsidR="001630D9">
        <w:t>collected</w:t>
      </w:r>
      <w:r>
        <w:t xml:space="preserve"> </w:t>
      </w:r>
      <w:r w:rsidR="006E25F9">
        <w:t>limits assessment</w:t>
      </w:r>
      <w:r>
        <w:t xml:space="preserve"> of </w:t>
      </w:r>
      <w:r w:rsidR="009645B4">
        <w:t xml:space="preserve">GDE </w:t>
      </w:r>
      <w:r>
        <w:t>temporal variability</w:t>
      </w:r>
      <w:r w:rsidR="00277EE0">
        <w:t>.</w:t>
      </w:r>
      <w:r>
        <w:t xml:space="preserve"> </w:t>
      </w:r>
      <w:r w:rsidR="00156751">
        <w:t>Th</w:t>
      </w:r>
      <w:r w:rsidR="006E25F9">
        <w:t>is</w:t>
      </w:r>
      <w:r>
        <w:t xml:space="preserve"> data is </w:t>
      </w:r>
      <w:r w:rsidR="006E25F9">
        <w:t>seldom</w:t>
      </w:r>
      <w:r>
        <w:t xml:space="preserve"> sufficient for use in establishing baseline conditions against which future monitoring </w:t>
      </w:r>
      <w:r w:rsidR="00156751">
        <w:t>will</w:t>
      </w:r>
      <w:r>
        <w:t xml:space="preserve"> be compared. To overcome this</w:t>
      </w:r>
      <w:r w:rsidR="006E25F9">
        <w:t xml:space="preserve"> problem</w:t>
      </w:r>
      <w:r>
        <w:t xml:space="preserve">, </w:t>
      </w:r>
      <w:r w:rsidR="00277EE0">
        <w:t>reference</w:t>
      </w:r>
      <w:r>
        <w:t xml:space="preserve"> sites need to be established. These </w:t>
      </w:r>
      <w:r w:rsidR="008D610A" w:rsidRPr="006F13EE">
        <w:t xml:space="preserve">should be located in areas where impacts from </w:t>
      </w:r>
      <w:r w:rsidR="002A6273">
        <w:t>CSG or LCM activities</w:t>
      </w:r>
      <w:r w:rsidR="00716A63">
        <w:t xml:space="preserve"> (which includes the project under assessment</w:t>
      </w:r>
      <w:r w:rsidR="002A6273">
        <w:t xml:space="preserve"> a</w:t>
      </w:r>
      <w:r w:rsidR="006E25F9">
        <w:t>s well as</w:t>
      </w:r>
      <w:r w:rsidR="00716A63">
        <w:t xml:space="preserve"> existing and likely future </w:t>
      </w:r>
      <w:r w:rsidR="002A6273">
        <w:t>operations</w:t>
      </w:r>
      <w:r w:rsidR="00716A63">
        <w:t xml:space="preserve">) </w:t>
      </w:r>
      <w:r w:rsidR="008D610A" w:rsidRPr="006F13EE">
        <w:t>are negligible, but where the ecosystems are still subject to changes consistent with pressures</w:t>
      </w:r>
      <w:r w:rsidR="002A6273">
        <w:t xml:space="preserve"> not caused by CSG or LCM activities</w:t>
      </w:r>
      <w:r w:rsidR="008D610A" w:rsidRPr="006F13EE">
        <w:t>.</w:t>
      </w:r>
      <w:r w:rsidR="00716A63">
        <w:t xml:space="preserve"> In a landscape where the GDE is already subject to </w:t>
      </w:r>
      <w:r w:rsidR="00277EE0">
        <w:t>p</w:t>
      </w:r>
      <w:r w:rsidR="00716A63">
        <w:t>ress</w:t>
      </w:r>
      <w:r w:rsidR="004E146C">
        <w:t>ures of irrigated agriculture</w:t>
      </w:r>
      <w:r w:rsidR="002A6273">
        <w:t xml:space="preserve"> or other modifications</w:t>
      </w:r>
      <w:r w:rsidR="004E146C">
        <w:t xml:space="preserve">, </w:t>
      </w:r>
      <w:r w:rsidR="004575C3">
        <w:t>reference</w:t>
      </w:r>
      <w:r w:rsidR="00716A63">
        <w:t xml:space="preserve"> sites should also experience similar pressures so </w:t>
      </w:r>
      <w:r w:rsidR="002A299E">
        <w:t xml:space="preserve">that </w:t>
      </w:r>
      <w:r w:rsidR="00716A63">
        <w:t xml:space="preserve">impacts </w:t>
      </w:r>
      <w:r w:rsidR="002A299E">
        <w:t xml:space="preserve">due to CSG or LCM activities </w:t>
      </w:r>
      <w:r w:rsidR="00716A63">
        <w:t xml:space="preserve">can be </w:t>
      </w:r>
      <w:r w:rsidR="006E25F9">
        <w:t>successfully distinguished</w:t>
      </w:r>
      <w:r w:rsidR="00716A63">
        <w:t xml:space="preserve">. </w:t>
      </w:r>
    </w:p>
    <w:p w14:paraId="31C8BC71" w14:textId="77777777" w:rsidR="008D610A" w:rsidRPr="006F13EE" w:rsidRDefault="008D610A" w:rsidP="008D610A">
      <w:pPr>
        <w:pStyle w:val="BodyText"/>
      </w:pPr>
      <w:r w:rsidRPr="006F13EE">
        <w:t>Each high</w:t>
      </w:r>
      <w:r w:rsidR="006E25F9">
        <w:t>-</w:t>
      </w:r>
      <w:r w:rsidRPr="006F13EE">
        <w:t xml:space="preserve"> and medium</w:t>
      </w:r>
      <w:r w:rsidR="006E25F9">
        <w:t>-</w:t>
      </w:r>
      <w:r w:rsidRPr="006F13EE">
        <w:t xml:space="preserve">value GDE should have </w:t>
      </w:r>
      <w:r w:rsidR="001630D9">
        <w:t>multiple</w:t>
      </w:r>
      <w:r w:rsidRPr="006F13EE">
        <w:t xml:space="preserve"> sampling sites with enough replication to differentiate natural variation in the ecosystem for species that are sensitive to groundwater regime</w:t>
      </w:r>
      <w:r w:rsidR="00277EE0">
        <w:t xml:space="preserve"> change</w:t>
      </w:r>
      <w:r w:rsidRPr="006F13EE">
        <w:t xml:space="preserve">. </w:t>
      </w:r>
      <w:r w:rsidR="00716A63">
        <w:t xml:space="preserve">Depending on the location of GDEs with respect to </w:t>
      </w:r>
      <w:proofErr w:type="spellStart"/>
      <w:r w:rsidR="00AB6B3E">
        <w:t>watertable</w:t>
      </w:r>
      <w:proofErr w:type="spellEnd"/>
      <w:r w:rsidR="00716A63">
        <w:t xml:space="preserve"> drawdown, it may be necessary to stratify sampling </w:t>
      </w:r>
      <w:r w:rsidR="006E25F9">
        <w:t xml:space="preserve">to account for </w:t>
      </w:r>
      <w:r w:rsidR="00716A63">
        <w:t>the impacts of different levels of drawdown. For example, a groundwater</w:t>
      </w:r>
      <w:r w:rsidR="006E25F9">
        <w:t>-</w:t>
      </w:r>
      <w:r w:rsidR="00716A63">
        <w:t xml:space="preserve">dependent patch of vegetation </w:t>
      </w:r>
      <w:r w:rsidR="001630D9">
        <w:t>might</w:t>
      </w:r>
      <w:r w:rsidR="00716A63">
        <w:t xml:space="preserve"> suffer more where the predicted drawdown is 10 m than in a location further from a bore or mine</w:t>
      </w:r>
      <w:r w:rsidR="00277EE0">
        <w:t>,</w:t>
      </w:r>
      <w:r w:rsidR="00716A63">
        <w:t xml:space="preserve"> where drawdown will only be 2 or 3 m</w:t>
      </w:r>
      <w:r w:rsidR="006E25F9">
        <w:t xml:space="preserve"> (assuming there is not a threshold depth to </w:t>
      </w:r>
      <w:proofErr w:type="spellStart"/>
      <w:r w:rsidR="006E25F9">
        <w:t>watertable</w:t>
      </w:r>
      <w:proofErr w:type="spellEnd"/>
      <w:r w:rsidR="006E25F9">
        <w:t xml:space="preserve"> shallower than 2 m where major impacts abruptly occur)</w:t>
      </w:r>
      <w:r w:rsidR="00716A63">
        <w:t xml:space="preserve">.  </w:t>
      </w:r>
    </w:p>
    <w:p w14:paraId="31C8BC72" w14:textId="77777777" w:rsidR="00984ACC" w:rsidRDefault="00984ACC" w:rsidP="00984ACC">
      <w:pPr>
        <w:pStyle w:val="ListNumber"/>
        <w:numPr>
          <w:ilvl w:val="0"/>
          <w:numId w:val="0"/>
        </w:numPr>
        <w:tabs>
          <w:tab w:val="clear" w:pos="397"/>
          <w:tab w:val="left" w:pos="922"/>
        </w:tabs>
        <w:ind w:left="397" w:hanging="397"/>
      </w:pPr>
      <w:r>
        <w:tab/>
      </w:r>
      <w:r>
        <w:tab/>
      </w:r>
    </w:p>
    <w:p w14:paraId="31C8BC73" w14:textId="77777777" w:rsidR="008D610A" w:rsidRDefault="008D610A" w:rsidP="00984ACC">
      <w:pPr>
        <w:pStyle w:val="ListNumber"/>
        <w:numPr>
          <w:ilvl w:val="0"/>
          <w:numId w:val="0"/>
        </w:numPr>
        <w:ind w:left="397" w:hanging="397"/>
      </w:pPr>
      <w:r w:rsidRPr="00984ACC">
        <w:rPr>
          <w:b/>
        </w:rPr>
        <w:t>CASE S</w:t>
      </w:r>
      <w:r w:rsidR="001F26CB" w:rsidRPr="00984ACC">
        <w:rPr>
          <w:b/>
        </w:rPr>
        <w:t xml:space="preserve">TUDY </w:t>
      </w:r>
      <w:r w:rsidR="00984ACC">
        <w:rPr>
          <w:b/>
        </w:rPr>
        <w:t>5</w:t>
      </w:r>
      <w:r w:rsidRPr="00984ACC">
        <w:rPr>
          <w:b/>
        </w:rPr>
        <w:t>:</w:t>
      </w:r>
      <w:r w:rsidRPr="006F13EE">
        <w:t xml:space="preserve"> </w:t>
      </w:r>
      <w:r w:rsidRPr="00984ACC">
        <w:rPr>
          <w:i/>
          <w:u w:val="single"/>
        </w:rPr>
        <w:t>Carmichael Coal Mine and Rail Project Stygofauna Survey (GHD 2012)</w:t>
      </w:r>
    </w:p>
    <w:p w14:paraId="31C8BC74" w14:textId="77777777" w:rsidR="008D610A" w:rsidRDefault="006E25F9" w:rsidP="008D610A">
      <w:pPr>
        <w:pStyle w:val="BodyText"/>
        <w:rPr>
          <w:i/>
        </w:rPr>
      </w:pPr>
      <w:r>
        <w:rPr>
          <w:i/>
        </w:rPr>
        <w:t xml:space="preserve">The </w:t>
      </w:r>
      <w:r w:rsidR="008D610A">
        <w:rPr>
          <w:i/>
        </w:rPr>
        <w:t>E</w:t>
      </w:r>
      <w:r w:rsidR="00BB1DD0">
        <w:rPr>
          <w:i/>
        </w:rPr>
        <w:t xml:space="preserve">nvironmental </w:t>
      </w:r>
      <w:r w:rsidR="008D610A">
        <w:rPr>
          <w:i/>
        </w:rPr>
        <w:t>I</w:t>
      </w:r>
      <w:r w:rsidR="00BB1DD0">
        <w:rPr>
          <w:i/>
        </w:rPr>
        <w:t xml:space="preserve">mpact </w:t>
      </w:r>
      <w:r w:rsidR="008D610A">
        <w:rPr>
          <w:i/>
        </w:rPr>
        <w:t>S</w:t>
      </w:r>
      <w:r w:rsidR="00BB1DD0">
        <w:rPr>
          <w:i/>
        </w:rPr>
        <w:t>tatement</w:t>
      </w:r>
      <w:r w:rsidR="008D610A">
        <w:rPr>
          <w:i/>
        </w:rPr>
        <w:t xml:space="preserve"> Terms of Reference for the Carmichael Coal Mine, in Queensland’s Galilee Basin, required the ‘description to Order or Family taxonomic rank of the presence and nature of stygofauna’, and specified that the sampling and survey methods s</w:t>
      </w:r>
      <w:r w:rsidR="00984ACC">
        <w:rPr>
          <w:i/>
        </w:rPr>
        <w:t>hould follow WA EPA (2003, 2007</w:t>
      </w:r>
      <w:r w:rsidR="008D610A">
        <w:rPr>
          <w:i/>
        </w:rPr>
        <w:t xml:space="preserve">) guidelines for sampling. At the time, these guidelines were considered best practice for Australia. </w:t>
      </w:r>
    </w:p>
    <w:p w14:paraId="31C8BC75" w14:textId="77777777" w:rsidR="008D610A" w:rsidRDefault="008D610A" w:rsidP="008D610A">
      <w:pPr>
        <w:pStyle w:val="BodyText"/>
        <w:rPr>
          <w:i/>
        </w:rPr>
      </w:pPr>
      <w:r>
        <w:rPr>
          <w:i/>
        </w:rPr>
        <w:t xml:space="preserve">The guidelines specify that sampling should occur over at least </w:t>
      </w:r>
      <w:r w:rsidR="00C97B0A">
        <w:rPr>
          <w:i/>
        </w:rPr>
        <w:t>two</w:t>
      </w:r>
      <w:r>
        <w:rPr>
          <w:i/>
        </w:rPr>
        <w:t xml:space="preserve"> seasons and collect samples from at</w:t>
      </w:r>
      <w:r w:rsidR="00C97B0A">
        <w:rPr>
          <w:i/>
        </w:rPr>
        <w:t xml:space="preserve"> least 40 bores (WA EPA 2003). </w:t>
      </w:r>
      <w:r>
        <w:rPr>
          <w:i/>
        </w:rPr>
        <w:t xml:space="preserve">These bores should access all aquifers present in the </w:t>
      </w:r>
      <w:r w:rsidR="00984ACC">
        <w:rPr>
          <w:i/>
        </w:rPr>
        <w:t xml:space="preserve">project </w:t>
      </w:r>
      <w:r>
        <w:rPr>
          <w:i/>
        </w:rPr>
        <w:t xml:space="preserve">impact area, but a higher emphasis should be placed on aquifers likely to have stygofauna (such as alluvial aquifers). </w:t>
      </w:r>
    </w:p>
    <w:p w14:paraId="31C8BC76" w14:textId="77777777" w:rsidR="00490A72" w:rsidRDefault="007F508D" w:rsidP="008D610A">
      <w:pPr>
        <w:pStyle w:val="BodyText"/>
        <w:rPr>
          <w:i/>
        </w:rPr>
      </w:pPr>
      <w:r>
        <w:rPr>
          <w:noProof/>
        </w:rPr>
        <w:drawing>
          <wp:anchor distT="0" distB="0" distL="114300" distR="114300" simplePos="0" relativeHeight="251850240" behindDoc="1" locked="0" layoutInCell="1" allowOverlap="1" wp14:anchorId="31C8C2FC" wp14:editId="31C8C2FD">
            <wp:simplePos x="0" y="0"/>
            <wp:positionH relativeFrom="margin">
              <wp:align>right</wp:align>
            </wp:positionH>
            <wp:positionV relativeFrom="paragraph">
              <wp:posOffset>659130</wp:posOffset>
            </wp:positionV>
            <wp:extent cx="2447925" cy="1945640"/>
            <wp:effectExtent l="0" t="0" r="9525" b="0"/>
            <wp:wrapTight wrapText="bothSides">
              <wp:wrapPolygon edited="0">
                <wp:start x="0" y="0"/>
                <wp:lineTo x="0" y="21360"/>
                <wp:lineTo x="21516" y="21360"/>
                <wp:lineTo x="21516" y="0"/>
                <wp:lineTo x="0" y="0"/>
              </wp:wrapPolygon>
            </wp:wrapTight>
            <wp:docPr id="59" name="Picture 59" descr="N:\Projects\17ARM\8960 GDE paper for IESC on CSG and large Coal mining\pics\Hexabath ph3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rojects\17ARM\8960 GDE paper for IESC on CSG and large Coal mining\pics\Hexabath ph3 scale.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447925"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10A">
        <w:rPr>
          <w:i/>
        </w:rPr>
        <w:t>In reality, stygofauna sampling is restricted by bore availab</w:t>
      </w:r>
      <w:r w:rsidR="00C97B0A">
        <w:rPr>
          <w:i/>
        </w:rPr>
        <w:t>ility</w:t>
      </w:r>
      <w:r w:rsidR="00984ACC">
        <w:rPr>
          <w:i/>
        </w:rPr>
        <w:t>. Bores</w:t>
      </w:r>
      <w:r w:rsidR="00716A63">
        <w:rPr>
          <w:i/>
        </w:rPr>
        <w:t xml:space="preserve"> are not always in the optimal location </w:t>
      </w:r>
      <w:r w:rsidR="00C97B0A">
        <w:rPr>
          <w:i/>
        </w:rPr>
        <w:t>due to installation</w:t>
      </w:r>
      <w:r w:rsidR="00716A63">
        <w:rPr>
          <w:i/>
        </w:rPr>
        <w:t xml:space="preserve"> for </w:t>
      </w:r>
      <w:r w:rsidR="00C97B0A">
        <w:rPr>
          <w:i/>
        </w:rPr>
        <w:t xml:space="preserve">purposes other </w:t>
      </w:r>
      <w:r w:rsidR="00716A63">
        <w:rPr>
          <w:i/>
        </w:rPr>
        <w:t>than the collection of stygofauna samples. For</w:t>
      </w:r>
      <w:r w:rsidR="00C97B0A">
        <w:rPr>
          <w:i/>
        </w:rPr>
        <w:t xml:space="preserve"> the</w:t>
      </w:r>
      <w:r w:rsidR="00716A63">
        <w:rPr>
          <w:i/>
        </w:rPr>
        <w:t xml:space="preserve"> </w:t>
      </w:r>
      <w:r w:rsidR="002709FC">
        <w:rPr>
          <w:i/>
        </w:rPr>
        <w:t>C</w:t>
      </w:r>
      <w:r w:rsidR="008D610A">
        <w:rPr>
          <w:i/>
        </w:rPr>
        <w:t>armichael Coal Mine, where</w:t>
      </w:r>
      <w:r w:rsidR="001630D9">
        <w:rPr>
          <w:i/>
        </w:rPr>
        <w:t xml:space="preserve"> the</w:t>
      </w:r>
      <w:r w:rsidR="008D610A">
        <w:rPr>
          <w:i/>
        </w:rPr>
        <w:t xml:space="preserve"> project tenement covers approximately 25,740 ha, 19 bores were sampled on each occasion, </w:t>
      </w:r>
      <w:r w:rsidR="00C97B0A">
        <w:rPr>
          <w:i/>
        </w:rPr>
        <w:t>with</w:t>
      </w:r>
      <w:r w:rsidR="008D610A">
        <w:rPr>
          <w:i/>
        </w:rPr>
        <w:t xml:space="preserve"> only two of these in alluvial aquifers. </w:t>
      </w:r>
      <w:r w:rsidR="00716A63">
        <w:rPr>
          <w:i/>
        </w:rPr>
        <w:t>This is because there were very few suitable bores present in the alluvium (GHD</w:t>
      </w:r>
      <w:r w:rsidR="0042326D">
        <w:rPr>
          <w:i/>
        </w:rPr>
        <w:t>,</w:t>
      </w:r>
      <w:r w:rsidR="00716A63">
        <w:rPr>
          <w:i/>
        </w:rPr>
        <w:t xml:space="preserve"> 201</w:t>
      </w:r>
      <w:r w:rsidR="00991F83">
        <w:rPr>
          <w:i/>
        </w:rPr>
        <w:t>3</w:t>
      </w:r>
      <w:r w:rsidR="00716A63">
        <w:rPr>
          <w:i/>
        </w:rPr>
        <w:t xml:space="preserve">). Although two stygofauna taxa were collected from a clay aquifer and one of the coal seams, no bores were sampled from </w:t>
      </w:r>
      <w:r w:rsidR="006E25F9">
        <w:rPr>
          <w:i/>
        </w:rPr>
        <w:t xml:space="preserve">the </w:t>
      </w:r>
      <w:r w:rsidR="00716A63">
        <w:rPr>
          <w:i/>
        </w:rPr>
        <w:t xml:space="preserve">alluvial aquifers of the two largest systems in the study area, the Carmichael and Belyando Rivers.  </w:t>
      </w:r>
    </w:p>
    <w:p w14:paraId="31C8BC77" w14:textId="77777777" w:rsidR="008D610A" w:rsidRDefault="00490A72" w:rsidP="008D610A">
      <w:pPr>
        <w:pStyle w:val="BodyText"/>
        <w:rPr>
          <w:i/>
        </w:rPr>
      </w:pPr>
      <w:r>
        <w:rPr>
          <w:i/>
        </w:rPr>
        <w:t xml:space="preserve">To better understand the </w:t>
      </w:r>
      <w:proofErr w:type="spellStart"/>
      <w:r>
        <w:rPr>
          <w:i/>
        </w:rPr>
        <w:t>stygofaunal</w:t>
      </w:r>
      <w:proofErr w:type="spellEnd"/>
      <w:r>
        <w:rPr>
          <w:i/>
        </w:rPr>
        <w:t xml:space="preserve"> diversity of the impact area, bores </w:t>
      </w:r>
      <w:r w:rsidR="00C97B0A">
        <w:rPr>
          <w:i/>
        </w:rPr>
        <w:t>need to be</w:t>
      </w:r>
      <w:r>
        <w:rPr>
          <w:i/>
        </w:rPr>
        <w:t xml:space="preserve"> installed in the alluvial aquifers, and more data collected. With only two bores sampled from alluvium, it is likely that </w:t>
      </w:r>
      <w:r w:rsidR="00716A63">
        <w:rPr>
          <w:i/>
        </w:rPr>
        <w:t xml:space="preserve">stygofauna diversity in the Carmichael Mine was </w:t>
      </w:r>
      <w:r>
        <w:rPr>
          <w:i/>
        </w:rPr>
        <w:t>u</w:t>
      </w:r>
      <w:r w:rsidR="00984ACC">
        <w:rPr>
          <w:i/>
        </w:rPr>
        <w:t>nder</w:t>
      </w:r>
      <w:r w:rsidR="006E25F9">
        <w:rPr>
          <w:i/>
        </w:rPr>
        <w:t>-</w:t>
      </w:r>
      <w:r w:rsidR="00716A63">
        <w:rPr>
          <w:i/>
        </w:rPr>
        <w:t>estimate</w:t>
      </w:r>
      <w:r>
        <w:rPr>
          <w:i/>
        </w:rPr>
        <w:t>d</w:t>
      </w:r>
      <w:r w:rsidR="00716A63">
        <w:rPr>
          <w:i/>
        </w:rPr>
        <w:t>.</w:t>
      </w:r>
    </w:p>
    <w:p w14:paraId="31C8BC78" w14:textId="77777777" w:rsidR="00E8370D" w:rsidRDefault="00E8370D" w:rsidP="008D610A">
      <w:pPr>
        <w:pStyle w:val="BodyText"/>
        <w:rPr>
          <w:i/>
        </w:rPr>
      </w:pPr>
      <w:r>
        <w:rPr>
          <w:i/>
        </w:rPr>
        <w:t>With more specific and detailed sampling guidelines now in p</w:t>
      </w:r>
      <w:r w:rsidR="00C97B0A">
        <w:rPr>
          <w:i/>
        </w:rPr>
        <w:t>lace in Queensland (DSITI 2014)</w:t>
      </w:r>
      <w:r>
        <w:rPr>
          <w:i/>
        </w:rPr>
        <w:t xml:space="preserve"> and a better understanding of stygofauna ecology and distribution, subsequent stygofauna sampling regimes </w:t>
      </w:r>
      <w:r w:rsidR="00C97B0A">
        <w:rPr>
          <w:i/>
        </w:rPr>
        <w:t>will</w:t>
      </w:r>
      <w:r>
        <w:rPr>
          <w:i/>
        </w:rPr>
        <w:t xml:space="preserve"> be developed t</w:t>
      </w:r>
      <w:r w:rsidR="00C97B0A">
        <w:rPr>
          <w:i/>
        </w:rPr>
        <w:t>o</w:t>
      </w:r>
      <w:r>
        <w:rPr>
          <w:i/>
        </w:rPr>
        <w:t xml:space="preserve"> target the appropriate aquifers and </w:t>
      </w:r>
      <w:r w:rsidR="00C97B0A">
        <w:rPr>
          <w:i/>
        </w:rPr>
        <w:t>undertake sampling</w:t>
      </w:r>
      <w:r>
        <w:rPr>
          <w:i/>
        </w:rPr>
        <w:t xml:space="preserve"> in sufficient spatial detail. For this to be achieved, it may be necessary to install monitoring bores that are not just located for the purpose of water quality sampling, but can also be used for stygofauna</w:t>
      </w:r>
      <w:r w:rsidR="00366527">
        <w:rPr>
          <w:i/>
        </w:rPr>
        <w:t xml:space="preserve"> sampling</w:t>
      </w:r>
      <w:r>
        <w:rPr>
          <w:i/>
        </w:rPr>
        <w:t>.</w:t>
      </w:r>
    </w:p>
    <w:p w14:paraId="31C8BC79" w14:textId="77777777" w:rsidR="00984ACC" w:rsidRDefault="00984ACC" w:rsidP="00984ACC">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lastRenderedPageBreak/>
        <w:t xml:space="preserve">RECOMMENDATION: Prioritise site selection and suitable replication </w:t>
      </w:r>
      <w:r w:rsidR="006E25F9">
        <w:t xml:space="preserve">during the </w:t>
      </w:r>
      <w:r>
        <w:t xml:space="preserve">pre-development stage so that </w:t>
      </w:r>
      <w:r w:rsidR="006E25F9">
        <w:t xml:space="preserve">a representative subset of </w:t>
      </w:r>
      <w:r>
        <w:t xml:space="preserve">sites can be included in </w:t>
      </w:r>
      <w:r w:rsidR="006E25F9">
        <w:t xml:space="preserve">subsequent </w:t>
      </w:r>
      <w:r>
        <w:t xml:space="preserve">monitoring to track changes during </w:t>
      </w:r>
      <w:r w:rsidR="006E25F9">
        <w:t xml:space="preserve">CSG or LCM </w:t>
      </w:r>
      <w:r>
        <w:t>operation</w:t>
      </w:r>
      <w:r w:rsidR="006E25F9">
        <w:t>s</w:t>
      </w:r>
      <w:r>
        <w:t>. Locate sites near groundwater monitoring bores.</w:t>
      </w:r>
    </w:p>
    <w:p w14:paraId="31C8BC7A" w14:textId="77777777" w:rsidR="006D49BF" w:rsidRPr="00E918A1" w:rsidRDefault="006D49BF" w:rsidP="00F3119C">
      <w:pPr>
        <w:pStyle w:val="Heading2"/>
      </w:pPr>
      <w:bookmarkStart w:id="58" w:name="_Toc509996481"/>
      <w:r>
        <w:t>Assessing e</w:t>
      </w:r>
      <w:r w:rsidRPr="00E918A1">
        <w:t>cosystem value</w:t>
      </w:r>
      <w:bookmarkEnd w:id="58"/>
    </w:p>
    <w:p w14:paraId="31C8BC7B" w14:textId="77777777" w:rsidR="006D49BF" w:rsidRDefault="006D49BF" w:rsidP="006D49BF">
      <w:pPr>
        <w:pStyle w:val="BodyText"/>
        <w:rPr>
          <w:color w:val="auto"/>
        </w:rPr>
      </w:pPr>
      <w:r>
        <w:rPr>
          <w:color w:val="auto"/>
        </w:rPr>
        <w:t>The purpose of assigning a</w:t>
      </w:r>
      <w:r w:rsidR="003170CD">
        <w:rPr>
          <w:color w:val="auto"/>
        </w:rPr>
        <w:t>n ecosystem</w:t>
      </w:r>
      <w:r>
        <w:rPr>
          <w:color w:val="auto"/>
        </w:rPr>
        <w:t xml:space="preserve"> </w:t>
      </w:r>
      <w:r w:rsidR="007E5F46">
        <w:rPr>
          <w:color w:val="auto"/>
        </w:rPr>
        <w:t xml:space="preserve">or ecological </w:t>
      </w:r>
      <w:r>
        <w:rPr>
          <w:color w:val="auto"/>
        </w:rPr>
        <w:t xml:space="preserve">value to a GDE in impact assessment is </w:t>
      </w:r>
      <w:r w:rsidR="003170CD">
        <w:rPr>
          <w:color w:val="auto"/>
        </w:rPr>
        <w:t xml:space="preserve">to </w:t>
      </w:r>
      <w:r w:rsidR="00796F58">
        <w:rPr>
          <w:color w:val="auto"/>
        </w:rPr>
        <w:t xml:space="preserve">assess </w:t>
      </w:r>
      <w:r>
        <w:rPr>
          <w:color w:val="auto"/>
        </w:rPr>
        <w:t>what might be lost as a result of development</w:t>
      </w:r>
      <w:r w:rsidR="003170CD">
        <w:rPr>
          <w:color w:val="auto"/>
        </w:rPr>
        <w:t xml:space="preserve"> and </w:t>
      </w:r>
      <w:r w:rsidR="00796F58">
        <w:rPr>
          <w:color w:val="auto"/>
        </w:rPr>
        <w:t xml:space="preserve">to </w:t>
      </w:r>
      <w:r w:rsidR="003170CD">
        <w:rPr>
          <w:color w:val="auto"/>
        </w:rPr>
        <w:t>make informed decisions</w:t>
      </w:r>
      <w:r>
        <w:rPr>
          <w:color w:val="auto"/>
        </w:rPr>
        <w:t xml:space="preserve">. It also provides a method to prioritise </w:t>
      </w:r>
      <w:r w:rsidR="003170CD">
        <w:rPr>
          <w:color w:val="auto"/>
        </w:rPr>
        <w:t xml:space="preserve">avoidance and </w:t>
      </w:r>
      <w:r>
        <w:rPr>
          <w:color w:val="auto"/>
        </w:rPr>
        <w:t xml:space="preserve">mitigation strategies, and guide monitoring programs. </w:t>
      </w:r>
    </w:p>
    <w:p w14:paraId="31C8BC7C" w14:textId="77777777" w:rsidR="006D49BF" w:rsidRDefault="00BD0CD7" w:rsidP="006D49BF">
      <w:pPr>
        <w:pStyle w:val="BodyText"/>
        <w:rPr>
          <w:color w:val="auto"/>
        </w:rPr>
      </w:pPr>
      <w:r>
        <w:rPr>
          <w:noProof/>
          <w:color w:val="auto"/>
        </w:rPr>
        <w:drawing>
          <wp:anchor distT="0" distB="0" distL="114300" distR="114300" simplePos="0" relativeHeight="251903488" behindDoc="0" locked="0" layoutInCell="1" allowOverlap="1" wp14:anchorId="31C8C2FE" wp14:editId="31C8C2FF">
            <wp:simplePos x="0" y="0"/>
            <wp:positionH relativeFrom="margin">
              <wp:align>left</wp:align>
            </wp:positionH>
            <wp:positionV relativeFrom="paragraph">
              <wp:posOffset>1167002</wp:posOffset>
            </wp:positionV>
            <wp:extent cx="2866390" cy="1897380"/>
            <wp:effectExtent l="0" t="0" r="0" b="7620"/>
            <wp:wrapThrough wrapText="bothSides">
              <wp:wrapPolygon edited="0">
                <wp:start x="0" y="0"/>
                <wp:lineTo x="0" y="21470"/>
                <wp:lineTo x="21389" y="21470"/>
                <wp:lineTo x="2138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_7940v1.jpg"/>
                    <pic:cNvPicPr/>
                  </pic:nvPicPr>
                  <pic:blipFill>
                    <a:blip r:embed="rId71" cstate="email">
                      <a:extLst>
                        <a:ext uri="{28A0092B-C50C-407E-A947-70E740481C1C}">
                          <a14:useLocalDpi xmlns:a14="http://schemas.microsoft.com/office/drawing/2010/main"/>
                        </a:ext>
                      </a:extLst>
                    </a:blip>
                    <a:stretch>
                      <a:fillRect/>
                    </a:stretch>
                  </pic:blipFill>
                  <pic:spPr>
                    <a:xfrm>
                      <a:off x="0" y="0"/>
                      <a:ext cx="2866390" cy="1897380"/>
                    </a:xfrm>
                    <a:prstGeom prst="rect">
                      <a:avLst/>
                    </a:prstGeom>
                  </pic:spPr>
                </pic:pic>
              </a:graphicData>
            </a:graphic>
          </wp:anchor>
        </w:drawing>
      </w:r>
      <w:r w:rsidR="006D49BF" w:rsidRPr="000F4491">
        <w:rPr>
          <w:color w:val="auto"/>
        </w:rPr>
        <w:t>When as</w:t>
      </w:r>
      <w:r w:rsidR="006D49BF">
        <w:rPr>
          <w:color w:val="auto"/>
        </w:rPr>
        <w:t>sessing the ecological value</w:t>
      </w:r>
      <w:r w:rsidR="00796F58">
        <w:rPr>
          <w:color w:val="auto"/>
        </w:rPr>
        <w:t xml:space="preserve"> of a GDE</w:t>
      </w:r>
      <w:r w:rsidR="006D49BF">
        <w:rPr>
          <w:color w:val="auto"/>
        </w:rPr>
        <w:t xml:space="preserve"> </w:t>
      </w:r>
      <w:r w:rsidR="006D49BF" w:rsidRPr="008D2B69">
        <w:rPr>
          <w:color w:val="auto"/>
        </w:rPr>
        <w:t xml:space="preserve">(see </w:t>
      </w:r>
      <w:r w:rsidR="006D49BF">
        <w:rPr>
          <w:color w:val="auto"/>
        </w:rPr>
        <w:t>S</w:t>
      </w:r>
      <w:r w:rsidR="006D49BF" w:rsidRPr="008D2B69">
        <w:rPr>
          <w:color w:val="auto"/>
        </w:rPr>
        <w:t xml:space="preserve">ection </w:t>
      </w:r>
      <w:r w:rsidR="006D49BF" w:rsidRPr="008D2B69">
        <w:rPr>
          <w:color w:val="auto"/>
        </w:rPr>
        <w:fldChar w:fldCharType="begin"/>
      </w:r>
      <w:r w:rsidR="006D49BF" w:rsidRPr="008D2B69">
        <w:rPr>
          <w:color w:val="auto"/>
        </w:rPr>
        <w:instrText xml:space="preserve"> REF _Ref508972113 \r \h </w:instrText>
      </w:r>
      <w:r w:rsidR="006D49BF" w:rsidRPr="008D2B69">
        <w:rPr>
          <w:color w:val="auto"/>
        </w:rPr>
      </w:r>
      <w:r w:rsidR="006D49BF" w:rsidRPr="008D2B69">
        <w:rPr>
          <w:color w:val="auto"/>
        </w:rPr>
        <w:fldChar w:fldCharType="separate"/>
      </w:r>
      <w:r w:rsidR="00E96B43">
        <w:rPr>
          <w:color w:val="auto"/>
        </w:rPr>
        <w:t>2.2</w:t>
      </w:r>
      <w:r w:rsidR="006D49BF" w:rsidRPr="008D2B69">
        <w:rPr>
          <w:color w:val="auto"/>
        </w:rPr>
        <w:fldChar w:fldCharType="end"/>
      </w:r>
      <w:r w:rsidR="006D49BF" w:rsidRPr="008D2B69">
        <w:rPr>
          <w:color w:val="auto"/>
        </w:rPr>
        <w:t>)</w:t>
      </w:r>
      <w:r w:rsidR="007E5F46">
        <w:rPr>
          <w:color w:val="auto"/>
        </w:rPr>
        <w:t>,</w:t>
      </w:r>
      <w:r w:rsidR="006D49BF" w:rsidRPr="008D2B69">
        <w:rPr>
          <w:color w:val="auto"/>
        </w:rPr>
        <w:t xml:space="preserve"> </w:t>
      </w:r>
      <w:r w:rsidR="006D49BF" w:rsidRPr="000F4491">
        <w:rPr>
          <w:color w:val="auto"/>
        </w:rPr>
        <w:t xml:space="preserve">a proponent </w:t>
      </w:r>
      <w:r w:rsidR="006D49BF">
        <w:rPr>
          <w:color w:val="auto"/>
        </w:rPr>
        <w:t xml:space="preserve">must consider the criteria that exist for the state </w:t>
      </w:r>
      <w:r w:rsidR="00796F58">
        <w:rPr>
          <w:color w:val="auto"/>
        </w:rPr>
        <w:t xml:space="preserve">or territory </w:t>
      </w:r>
      <w:r w:rsidR="006D49BF">
        <w:rPr>
          <w:color w:val="auto"/>
        </w:rPr>
        <w:t>in which they work. They need</w:t>
      </w:r>
      <w:r w:rsidR="006D49BF" w:rsidRPr="000F4491">
        <w:rPr>
          <w:color w:val="auto"/>
        </w:rPr>
        <w:t xml:space="preserve"> to consider the </w:t>
      </w:r>
      <w:r w:rsidR="007E5F46">
        <w:rPr>
          <w:color w:val="auto"/>
        </w:rPr>
        <w:t xml:space="preserve">ecological </w:t>
      </w:r>
      <w:r w:rsidR="006D49BF">
        <w:rPr>
          <w:color w:val="auto"/>
        </w:rPr>
        <w:t>condition</w:t>
      </w:r>
      <w:r w:rsidR="006D49BF" w:rsidRPr="000F4491">
        <w:rPr>
          <w:color w:val="auto"/>
        </w:rPr>
        <w:t xml:space="preserve"> of the GDE under current and historical land management, how this differs from its likely condition prior to any impact</w:t>
      </w:r>
      <w:r w:rsidR="00796F58">
        <w:rPr>
          <w:color w:val="auto"/>
        </w:rPr>
        <w:t xml:space="preserve"> from CSG or LCM activities</w:t>
      </w:r>
      <w:r w:rsidR="006D49BF" w:rsidRPr="000F4491">
        <w:rPr>
          <w:color w:val="auto"/>
        </w:rPr>
        <w:t>, and the potential for the ecosystem to return to its pre-impact condition with a</w:t>
      </w:r>
      <w:r w:rsidR="007E5F46">
        <w:rPr>
          <w:color w:val="auto"/>
        </w:rPr>
        <w:t xml:space="preserve">nd without mitigation measures. </w:t>
      </w:r>
      <w:r w:rsidR="006D49BF" w:rsidRPr="000F4491">
        <w:rPr>
          <w:color w:val="auto"/>
        </w:rPr>
        <w:t xml:space="preserve">The process of establishing ecological condition, and the thresholds used to determine whether the </w:t>
      </w:r>
      <w:r w:rsidR="006D49BF" w:rsidRPr="007C6A17">
        <w:rPr>
          <w:color w:val="auto"/>
        </w:rPr>
        <w:t xml:space="preserve">ecosystem is in good, moderate or poor condition, will vary for </w:t>
      </w:r>
      <w:r w:rsidR="00796F58">
        <w:rPr>
          <w:color w:val="auto"/>
        </w:rPr>
        <w:t>each GDE</w:t>
      </w:r>
      <w:r w:rsidR="006D49BF" w:rsidRPr="007C6A17">
        <w:rPr>
          <w:color w:val="auto"/>
        </w:rPr>
        <w:t xml:space="preserve"> and its regional significance.</w:t>
      </w:r>
      <w:r w:rsidR="006D49BF">
        <w:rPr>
          <w:color w:val="auto"/>
        </w:rPr>
        <w:t xml:space="preserve"> Usually, field surveys will be required to fill information gaps.</w:t>
      </w:r>
      <w:r w:rsidR="006D49BF" w:rsidRPr="007C6A17">
        <w:rPr>
          <w:color w:val="auto"/>
        </w:rPr>
        <w:t xml:space="preserve"> Guidance on field assessment of ecosystem condition or value for subterranean fauna is detailed in </w:t>
      </w:r>
      <w:r w:rsidR="006D49BF">
        <w:rPr>
          <w:color w:val="auto"/>
        </w:rPr>
        <w:t xml:space="preserve">Appendix </w:t>
      </w:r>
      <w:r w:rsidR="00015815">
        <w:rPr>
          <w:color w:val="auto"/>
        </w:rPr>
        <w:t>G</w:t>
      </w:r>
      <w:r w:rsidR="006D49BF">
        <w:rPr>
          <w:color w:val="auto"/>
        </w:rPr>
        <w:t xml:space="preserve"> </w:t>
      </w:r>
      <w:r w:rsidR="006D49BF" w:rsidRPr="007C6A17">
        <w:rPr>
          <w:color w:val="auto"/>
        </w:rPr>
        <w:t xml:space="preserve">and </w:t>
      </w:r>
      <w:r w:rsidR="0053475E">
        <w:rPr>
          <w:color w:val="auto"/>
        </w:rPr>
        <w:fldChar w:fldCharType="begin"/>
      </w:r>
      <w:r w:rsidR="0053475E">
        <w:rPr>
          <w:color w:val="auto"/>
        </w:rPr>
        <w:instrText xml:space="preserve"> REF _Ref509778286 \h </w:instrText>
      </w:r>
      <w:r w:rsidR="0053475E">
        <w:rPr>
          <w:color w:val="auto"/>
        </w:rPr>
      </w:r>
      <w:r w:rsidR="0053475E">
        <w:rPr>
          <w:color w:val="auto"/>
        </w:rPr>
        <w:fldChar w:fldCharType="separate"/>
      </w:r>
      <w:r w:rsidR="00E96B43">
        <w:t xml:space="preserve">App Table </w:t>
      </w:r>
      <w:r w:rsidR="00E96B43">
        <w:rPr>
          <w:noProof/>
        </w:rPr>
        <w:t>8</w:t>
      </w:r>
      <w:r w:rsidR="0053475E">
        <w:rPr>
          <w:color w:val="auto"/>
        </w:rPr>
        <w:fldChar w:fldCharType="end"/>
      </w:r>
      <w:r w:rsidR="00991F83">
        <w:rPr>
          <w:color w:val="auto"/>
        </w:rPr>
        <w:t xml:space="preserve"> and</w:t>
      </w:r>
      <w:r w:rsidR="0046108C">
        <w:rPr>
          <w:color w:val="auto"/>
        </w:rPr>
        <w:t xml:space="preserve"> </w:t>
      </w:r>
      <w:r w:rsidR="0046108C">
        <w:rPr>
          <w:color w:val="auto"/>
        </w:rPr>
        <w:fldChar w:fldCharType="begin"/>
      </w:r>
      <w:r w:rsidR="0046108C">
        <w:rPr>
          <w:color w:val="auto"/>
        </w:rPr>
        <w:instrText xml:space="preserve"> REF _Ref509930363 \h </w:instrText>
      </w:r>
      <w:r w:rsidR="0046108C">
        <w:rPr>
          <w:color w:val="auto"/>
        </w:rPr>
      </w:r>
      <w:r w:rsidR="0046108C">
        <w:rPr>
          <w:color w:val="auto"/>
        </w:rPr>
        <w:fldChar w:fldCharType="separate"/>
      </w:r>
      <w:r w:rsidR="00E96B43">
        <w:t xml:space="preserve">App Table </w:t>
      </w:r>
      <w:r w:rsidR="00E96B43">
        <w:rPr>
          <w:noProof/>
        </w:rPr>
        <w:t>9</w:t>
      </w:r>
      <w:r w:rsidR="0046108C">
        <w:rPr>
          <w:color w:val="auto"/>
        </w:rPr>
        <w:fldChar w:fldCharType="end"/>
      </w:r>
      <w:r w:rsidR="0053475E">
        <w:rPr>
          <w:color w:val="auto"/>
        </w:rPr>
        <w:t>.</w:t>
      </w:r>
    </w:p>
    <w:p w14:paraId="31C8BC7D" w14:textId="77777777" w:rsidR="006D49BF" w:rsidRDefault="00BB1DD0" w:rsidP="006D49BF">
      <w:pPr>
        <w:pStyle w:val="BodyText"/>
        <w:rPr>
          <w:color w:val="auto"/>
        </w:rPr>
      </w:pPr>
      <w:r>
        <w:rPr>
          <w:color w:val="auto"/>
        </w:rPr>
        <w:t>In an EIA</w:t>
      </w:r>
      <w:r w:rsidR="006D49BF">
        <w:rPr>
          <w:color w:val="auto"/>
        </w:rPr>
        <w:t xml:space="preserve">, it is critical </w:t>
      </w:r>
      <w:r w:rsidR="006D49BF" w:rsidRPr="00E918A1">
        <w:rPr>
          <w:color w:val="auto"/>
        </w:rPr>
        <w:t xml:space="preserve">to understand ecosystem value with respect to how GDEs interact with the </w:t>
      </w:r>
      <w:r w:rsidR="006D49BF">
        <w:rPr>
          <w:color w:val="auto"/>
        </w:rPr>
        <w:t>surrounding</w:t>
      </w:r>
      <w:r w:rsidR="006D49BF" w:rsidRPr="00E918A1">
        <w:rPr>
          <w:color w:val="auto"/>
        </w:rPr>
        <w:t xml:space="preserve"> environment and the myriad of </w:t>
      </w:r>
      <w:r w:rsidR="00796F58">
        <w:rPr>
          <w:color w:val="auto"/>
        </w:rPr>
        <w:t xml:space="preserve">ecosystem </w:t>
      </w:r>
      <w:r w:rsidR="006D49BF" w:rsidRPr="00E918A1">
        <w:rPr>
          <w:color w:val="auto"/>
        </w:rPr>
        <w:t>services that they may provide</w:t>
      </w:r>
      <w:r w:rsidR="006D49BF">
        <w:rPr>
          <w:color w:val="auto"/>
        </w:rPr>
        <w:t>.</w:t>
      </w:r>
      <w:r w:rsidR="006D49BF" w:rsidRPr="00E918A1">
        <w:rPr>
          <w:color w:val="auto"/>
        </w:rPr>
        <w:t xml:space="preserve"> </w:t>
      </w:r>
      <w:proofErr w:type="spellStart"/>
      <w:r w:rsidR="006D49BF" w:rsidRPr="00E918A1">
        <w:rPr>
          <w:color w:val="auto"/>
        </w:rPr>
        <w:t>Eamus</w:t>
      </w:r>
      <w:proofErr w:type="spellEnd"/>
      <w:r w:rsidR="006D49BF" w:rsidRPr="00E918A1">
        <w:rPr>
          <w:color w:val="auto"/>
        </w:rPr>
        <w:t xml:space="preserve"> et al. (2006</w:t>
      </w:r>
      <w:r w:rsidR="006D49BF">
        <w:rPr>
          <w:color w:val="auto"/>
        </w:rPr>
        <w:t xml:space="preserve">; see </w:t>
      </w:r>
      <w:r w:rsidR="00796F58">
        <w:rPr>
          <w:color w:val="auto"/>
        </w:rPr>
        <w:t>s</w:t>
      </w:r>
      <w:r w:rsidR="006D49BF">
        <w:rPr>
          <w:color w:val="auto"/>
        </w:rPr>
        <w:t>ection 2.2</w:t>
      </w:r>
      <w:r w:rsidR="006D49BF" w:rsidRPr="00E918A1">
        <w:rPr>
          <w:color w:val="auto"/>
        </w:rPr>
        <w:t xml:space="preserve">) recommend that value be assigned to GDEs through a combination of community consultation, expert knowledge and economic assessment (amenity, tourism, conservation, economic productivity) and </w:t>
      </w:r>
      <w:r w:rsidR="00796F58">
        <w:rPr>
          <w:color w:val="auto"/>
        </w:rPr>
        <w:t xml:space="preserve">that </w:t>
      </w:r>
      <w:r w:rsidR="00796F58" w:rsidRPr="00E918A1">
        <w:rPr>
          <w:color w:val="auto"/>
        </w:rPr>
        <w:t xml:space="preserve">where value, threat </w:t>
      </w:r>
      <w:r w:rsidR="00796F58" w:rsidRPr="00C4557D">
        <w:rPr>
          <w:color w:val="auto"/>
        </w:rPr>
        <w:t>(vulnerability) and</w:t>
      </w:r>
      <w:r w:rsidR="00796F58" w:rsidRPr="00E918A1">
        <w:rPr>
          <w:color w:val="auto"/>
        </w:rPr>
        <w:t xml:space="preserve"> uncertainty are the greatest</w:t>
      </w:r>
      <w:r w:rsidR="00796F58">
        <w:rPr>
          <w:color w:val="auto"/>
        </w:rPr>
        <w:t xml:space="preserve">, </w:t>
      </w:r>
      <w:r w:rsidR="006D49BF" w:rsidRPr="00E918A1">
        <w:rPr>
          <w:color w:val="auto"/>
        </w:rPr>
        <w:t>GDEs should be prioritised</w:t>
      </w:r>
      <w:r w:rsidR="006D49BF">
        <w:rPr>
          <w:color w:val="auto"/>
        </w:rPr>
        <w:t xml:space="preserve"> usin</w:t>
      </w:r>
      <w:r w:rsidR="00015815">
        <w:rPr>
          <w:color w:val="auto"/>
        </w:rPr>
        <w:t>g the ‘precautionary principle’</w:t>
      </w:r>
      <w:r w:rsidR="006D49BF" w:rsidRPr="00E918A1">
        <w:rPr>
          <w:color w:val="auto"/>
        </w:rPr>
        <w:t>.</w:t>
      </w:r>
      <w:r w:rsidR="006D49BF">
        <w:rPr>
          <w:color w:val="auto"/>
        </w:rPr>
        <w:t xml:space="preserve"> </w:t>
      </w:r>
      <w:r w:rsidR="00015815">
        <w:rPr>
          <w:color w:val="auto"/>
        </w:rPr>
        <w:t>Guidance on c</w:t>
      </w:r>
      <w:r w:rsidR="006D49BF">
        <w:rPr>
          <w:color w:val="auto"/>
        </w:rPr>
        <w:t>ommunity consultation and economic assessment are outside the scope of this document.</w:t>
      </w:r>
    </w:p>
    <w:p w14:paraId="31C8BC7E" w14:textId="77777777" w:rsidR="006D49BF" w:rsidRDefault="006D49BF" w:rsidP="006D49BF">
      <w:pPr>
        <w:pStyle w:val="BodyText"/>
        <w:rPr>
          <w:color w:val="auto"/>
        </w:rPr>
      </w:pPr>
      <w:r>
        <w:rPr>
          <w:color w:val="auto"/>
        </w:rPr>
        <w:t>Serov et al. (2012) provide a comprehensive guide for attributing a low, moderate or high value to GDEs</w:t>
      </w:r>
      <w:r w:rsidR="00796F58">
        <w:rPr>
          <w:color w:val="auto"/>
        </w:rPr>
        <w:t>, including</w:t>
      </w:r>
      <w:r>
        <w:rPr>
          <w:color w:val="auto"/>
        </w:rPr>
        <w:t xml:space="preserve"> consideration of:</w:t>
      </w:r>
    </w:p>
    <w:p w14:paraId="31C8BC7F" w14:textId="77777777" w:rsidR="006D49BF" w:rsidRDefault="004C51C7" w:rsidP="00F1192F">
      <w:pPr>
        <w:pStyle w:val="BodyText"/>
        <w:numPr>
          <w:ilvl w:val="0"/>
          <w:numId w:val="21"/>
        </w:numPr>
        <w:rPr>
          <w:color w:val="auto"/>
        </w:rPr>
      </w:pPr>
      <w:r>
        <w:rPr>
          <w:color w:val="auto"/>
        </w:rPr>
        <w:t>t</w:t>
      </w:r>
      <w:r w:rsidR="006D49BF">
        <w:rPr>
          <w:color w:val="auto"/>
        </w:rPr>
        <w:t xml:space="preserve">he sensitivity of GDE communities to changes in groundwater (e.g. </w:t>
      </w:r>
      <w:r w:rsidR="006D49BF" w:rsidRPr="002F785B">
        <w:rPr>
          <w:i/>
          <w:color w:val="auto"/>
        </w:rPr>
        <w:t>high value</w:t>
      </w:r>
      <w:r w:rsidR="00796F58">
        <w:rPr>
          <w:color w:val="auto"/>
        </w:rPr>
        <w:t xml:space="preserve"> -</w:t>
      </w:r>
      <w:r w:rsidR="002F785B">
        <w:rPr>
          <w:color w:val="auto"/>
        </w:rPr>
        <w:t xml:space="preserve"> </w:t>
      </w:r>
      <w:r w:rsidR="00796F58">
        <w:rPr>
          <w:color w:val="auto"/>
        </w:rPr>
        <w:t xml:space="preserve">GDEs </w:t>
      </w:r>
      <w:r w:rsidR="006D49BF">
        <w:rPr>
          <w:color w:val="auto"/>
        </w:rPr>
        <w:t>for which only slight changes in groundwater level can result in loss</w:t>
      </w:r>
      <w:r w:rsidR="00796F58">
        <w:rPr>
          <w:color w:val="auto"/>
        </w:rPr>
        <w:t xml:space="preserve"> of biota or services;</w:t>
      </w:r>
      <w:r w:rsidR="006D49BF">
        <w:rPr>
          <w:color w:val="auto"/>
        </w:rPr>
        <w:t xml:space="preserve"> </w:t>
      </w:r>
      <w:r w:rsidR="006D49BF" w:rsidRPr="002F785B">
        <w:rPr>
          <w:i/>
          <w:color w:val="auto"/>
        </w:rPr>
        <w:t>moderate value</w:t>
      </w:r>
      <w:r w:rsidR="00796F58">
        <w:rPr>
          <w:color w:val="auto"/>
        </w:rPr>
        <w:t xml:space="preserve"> -</w:t>
      </w:r>
      <w:r w:rsidR="002F785B">
        <w:rPr>
          <w:color w:val="auto"/>
        </w:rPr>
        <w:t xml:space="preserve"> </w:t>
      </w:r>
      <w:r w:rsidR="006D49BF">
        <w:rPr>
          <w:color w:val="auto"/>
        </w:rPr>
        <w:t>GDEs that require a moderate change in groundwater to cause change in their distribution, composition or condition)</w:t>
      </w:r>
    </w:p>
    <w:p w14:paraId="31C8BC80" w14:textId="77777777" w:rsidR="006D49BF" w:rsidRDefault="004C51C7" w:rsidP="00F1192F">
      <w:pPr>
        <w:pStyle w:val="BodyText"/>
        <w:numPr>
          <w:ilvl w:val="0"/>
          <w:numId w:val="21"/>
        </w:numPr>
        <w:rPr>
          <w:color w:val="auto"/>
        </w:rPr>
      </w:pPr>
      <w:r>
        <w:rPr>
          <w:color w:val="auto"/>
        </w:rPr>
        <w:t>l</w:t>
      </w:r>
      <w:r w:rsidR="006D49BF">
        <w:rPr>
          <w:color w:val="auto"/>
        </w:rPr>
        <w:t xml:space="preserve">ocation of GDEs (e.g. </w:t>
      </w:r>
      <w:r w:rsidR="006D49BF" w:rsidRPr="002F785B">
        <w:rPr>
          <w:i/>
          <w:color w:val="auto"/>
        </w:rPr>
        <w:t>high value</w:t>
      </w:r>
      <w:r w:rsidR="00796F58">
        <w:rPr>
          <w:color w:val="auto"/>
        </w:rPr>
        <w:t xml:space="preserve"> -</w:t>
      </w:r>
      <w:r w:rsidR="006D49BF">
        <w:rPr>
          <w:color w:val="auto"/>
        </w:rPr>
        <w:t xml:space="preserve"> within State Reserves)</w:t>
      </w:r>
    </w:p>
    <w:p w14:paraId="31C8BC81" w14:textId="77777777" w:rsidR="006D49BF" w:rsidRDefault="004C51C7" w:rsidP="00F1192F">
      <w:pPr>
        <w:pStyle w:val="BodyText"/>
        <w:numPr>
          <w:ilvl w:val="0"/>
          <w:numId w:val="21"/>
        </w:numPr>
        <w:rPr>
          <w:color w:val="auto"/>
        </w:rPr>
      </w:pPr>
      <w:r>
        <w:rPr>
          <w:color w:val="auto"/>
        </w:rPr>
        <w:t>c</w:t>
      </w:r>
      <w:r w:rsidR="006D49BF">
        <w:rPr>
          <w:color w:val="auto"/>
        </w:rPr>
        <w:t xml:space="preserve">ondition (e.g. </w:t>
      </w:r>
      <w:r w:rsidR="006D49BF" w:rsidRPr="002F785B">
        <w:rPr>
          <w:i/>
          <w:color w:val="auto"/>
        </w:rPr>
        <w:t>high value</w:t>
      </w:r>
      <w:r w:rsidR="00796F58">
        <w:rPr>
          <w:color w:val="auto"/>
        </w:rPr>
        <w:t xml:space="preserve"> -</w:t>
      </w:r>
      <w:r w:rsidR="006D49BF">
        <w:rPr>
          <w:color w:val="auto"/>
        </w:rPr>
        <w:t xml:space="preserve"> GDE is relatively unaltered with good condition</w:t>
      </w:r>
      <w:r w:rsidR="00796F58">
        <w:rPr>
          <w:color w:val="auto"/>
        </w:rPr>
        <w:t>;</w:t>
      </w:r>
      <w:r w:rsidR="006D49BF">
        <w:rPr>
          <w:color w:val="auto"/>
        </w:rPr>
        <w:t xml:space="preserve"> </w:t>
      </w:r>
      <w:r w:rsidR="006D49BF" w:rsidRPr="002F785B">
        <w:rPr>
          <w:i/>
          <w:color w:val="auto"/>
        </w:rPr>
        <w:t>low value</w:t>
      </w:r>
      <w:r w:rsidR="00796F58">
        <w:rPr>
          <w:color w:val="auto"/>
        </w:rPr>
        <w:t xml:space="preserve"> -</w:t>
      </w:r>
      <w:r w:rsidR="006D49BF">
        <w:rPr>
          <w:color w:val="auto"/>
        </w:rPr>
        <w:t xml:space="preserve"> highly modified from natural state and declin</w:t>
      </w:r>
      <w:r w:rsidR="00796F58">
        <w:rPr>
          <w:color w:val="auto"/>
        </w:rPr>
        <w:t>ing</w:t>
      </w:r>
      <w:r w:rsidR="006D49BF">
        <w:rPr>
          <w:color w:val="auto"/>
        </w:rPr>
        <w:t xml:space="preserve"> in ecosystem c</w:t>
      </w:r>
      <w:r w:rsidR="00796F58">
        <w:rPr>
          <w:color w:val="auto"/>
        </w:rPr>
        <w:t>ondi</w:t>
      </w:r>
      <w:r w:rsidR="006D49BF">
        <w:rPr>
          <w:color w:val="auto"/>
        </w:rPr>
        <w:t>tion)</w:t>
      </w:r>
    </w:p>
    <w:p w14:paraId="31C8BC82" w14:textId="77777777" w:rsidR="006D49BF" w:rsidRDefault="004C51C7" w:rsidP="00F1192F">
      <w:pPr>
        <w:pStyle w:val="BodyText"/>
        <w:numPr>
          <w:ilvl w:val="0"/>
          <w:numId w:val="21"/>
        </w:numPr>
        <w:rPr>
          <w:color w:val="auto"/>
        </w:rPr>
      </w:pPr>
      <w:r>
        <w:rPr>
          <w:color w:val="auto"/>
        </w:rPr>
        <w:t>u</w:t>
      </w:r>
      <w:r w:rsidR="006D49BF">
        <w:rPr>
          <w:color w:val="auto"/>
        </w:rPr>
        <w:t xml:space="preserve">niqueness (e.g. </w:t>
      </w:r>
      <w:r w:rsidR="006D49BF" w:rsidRPr="002F785B">
        <w:rPr>
          <w:i/>
          <w:color w:val="auto"/>
        </w:rPr>
        <w:t>high value</w:t>
      </w:r>
      <w:r w:rsidR="00796F58">
        <w:rPr>
          <w:color w:val="auto"/>
        </w:rPr>
        <w:t xml:space="preserve"> -</w:t>
      </w:r>
      <w:r w:rsidR="006D49BF">
        <w:rPr>
          <w:color w:val="auto"/>
        </w:rPr>
        <w:t xml:space="preserve"> GDE contains endemic, </w:t>
      </w:r>
      <w:proofErr w:type="spellStart"/>
      <w:r w:rsidR="006D49BF">
        <w:rPr>
          <w:color w:val="auto"/>
        </w:rPr>
        <w:t>relictual</w:t>
      </w:r>
      <w:proofErr w:type="spellEnd"/>
      <w:r w:rsidR="006D49BF">
        <w:rPr>
          <w:color w:val="auto"/>
        </w:rPr>
        <w:t>, rare or endangered species</w:t>
      </w:r>
      <w:r w:rsidR="00796F58">
        <w:rPr>
          <w:color w:val="auto"/>
        </w:rPr>
        <w:t>;</w:t>
      </w:r>
      <w:r w:rsidR="006D49BF">
        <w:rPr>
          <w:color w:val="auto"/>
        </w:rPr>
        <w:t xml:space="preserve"> </w:t>
      </w:r>
      <w:r w:rsidR="006D49BF" w:rsidRPr="002F785B">
        <w:rPr>
          <w:i/>
          <w:color w:val="auto"/>
        </w:rPr>
        <w:t>moderate value</w:t>
      </w:r>
      <w:r w:rsidR="00796F58">
        <w:rPr>
          <w:color w:val="auto"/>
        </w:rPr>
        <w:t xml:space="preserve"> - </w:t>
      </w:r>
      <w:r w:rsidR="006D49BF">
        <w:rPr>
          <w:color w:val="auto"/>
        </w:rPr>
        <w:t>GDEs contain vulnerable or threatened biota)</w:t>
      </w:r>
    </w:p>
    <w:p w14:paraId="31C8BC83" w14:textId="77777777" w:rsidR="006D49BF" w:rsidRPr="000F4491" w:rsidRDefault="004C51C7" w:rsidP="00F1192F">
      <w:pPr>
        <w:pStyle w:val="BodyText"/>
        <w:numPr>
          <w:ilvl w:val="0"/>
          <w:numId w:val="21"/>
        </w:numPr>
        <w:rPr>
          <w:color w:val="auto"/>
        </w:rPr>
      </w:pPr>
      <w:r>
        <w:rPr>
          <w:color w:val="auto"/>
        </w:rPr>
        <w:t>s</w:t>
      </w:r>
      <w:r w:rsidR="006D49BF">
        <w:rPr>
          <w:color w:val="auto"/>
        </w:rPr>
        <w:t xml:space="preserve">ervices (e.g. </w:t>
      </w:r>
      <w:r w:rsidR="00796F58">
        <w:rPr>
          <w:i/>
          <w:color w:val="auto"/>
        </w:rPr>
        <w:t>high</w:t>
      </w:r>
      <w:r w:rsidR="00796F58" w:rsidRPr="002F785B">
        <w:rPr>
          <w:i/>
          <w:color w:val="auto"/>
        </w:rPr>
        <w:t xml:space="preserve"> </w:t>
      </w:r>
      <w:r w:rsidR="006D49BF" w:rsidRPr="002F785B">
        <w:rPr>
          <w:i/>
          <w:color w:val="auto"/>
        </w:rPr>
        <w:t>value</w:t>
      </w:r>
      <w:r w:rsidR="00796F58" w:rsidRPr="007D1BD5">
        <w:rPr>
          <w:color w:val="auto"/>
        </w:rPr>
        <w:t xml:space="preserve"> -</w:t>
      </w:r>
      <w:r w:rsidR="006D49BF">
        <w:rPr>
          <w:color w:val="auto"/>
        </w:rPr>
        <w:t xml:space="preserve"> GDEs that provide</w:t>
      </w:r>
      <w:r w:rsidR="00796F58">
        <w:rPr>
          <w:color w:val="auto"/>
        </w:rPr>
        <w:t xml:space="preserve"> multiple ecosystem</w:t>
      </w:r>
      <w:r w:rsidR="006D49BF">
        <w:rPr>
          <w:color w:val="auto"/>
        </w:rPr>
        <w:t xml:space="preserve"> services to </w:t>
      </w:r>
      <w:r w:rsidR="00796F58">
        <w:rPr>
          <w:color w:val="auto"/>
        </w:rPr>
        <w:t>society</w:t>
      </w:r>
      <w:r w:rsidR="006D49BF">
        <w:rPr>
          <w:color w:val="auto"/>
        </w:rPr>
        <w:t>)</w:t>
      </w:r>
    </w:p>
    <w:p w14:paraId="31C8BC84" w14:textId="77777777" w:rsidR="00F3119C" w:rsidRDefault="00F3119C">
      <w:pPr>
        <w:spacing w:after="0"/>
        <w:rPr>
          <w:rFonts w:eastAsiaTheme="majorEastAsia" w:cstheme="majorBidi"/>
          <w:bCs/>
          <w:color w:val="00313C" w:themeColor="accent2"/>
          <w:sz w:val="32"/>
          <w:szCs w:val="26"/>
        </w:rPr>
      </w:pPr>
      <w:r>
        <w:br w:type="page"/>
      </w:r>
    </w:p>
    <w:p w14:paraId="31C8BC85" w14:textId="77777777" w:rsidR="00B67B3E" w:rsidRDefault="00B67B3E" w:rsidP="00F3119C">
      <w:pPr>
        <w:pStyle w:val="Heading2"/>
      </w:pPr>
      <w:bookmarkStart w:id="59" w:name="_Toc509996482"/>
      <w:r>
        <w:lastRenderedPageBreak/>
        <w:t>Data requirements</w:t>
      </w:r>
      <w:bookmarkEnd w:id="59"/>
      <w:r>
        <w:t xml:space="preserve"> </w:t>
      </w:r>
    </w:p>
    <w:p w14:paraId="31C8BC86" w14:textId="77777777" w:rsidR="007A7715" w:rsidRDefault="002709FC" w:rsidP="007A7715">
      <w:pPr>
        <w:pStyle w:val="BodyText"/>
      </w:pPr>
      <w:r>
        <w:t>The GDE Toolbox contains a list of different sampling methods available for GDEs</w:t>
      </w:r>
      <w:r w:rsidR="00156751">
        <w:t xml:space="preserve"> (</w:t>
      </w:r>
      <w:r w:rsidR="00156751">
        <w:fldChar w:fldCharType="begin"/>
      </w:r>
      <w:r w:rsidR="00156751">
        <w:instrText xml:space="preserve"> REF _Ref507707870 \h </w:instrText>
      </w:r>
      <w:r w:rsidR="00156751">
        <w:fldChar w:fldCharType="separate"/>
      </w:r>
      <w:r w:rsidR="00E96B43">
        <w:t xml:space="preserve">App Table </w:t>
      </w:r>
      <w:r w:rsidR="00E96B43">
        <w:rPr>
          <w:noProof/>
        </w:rPr>
        <w:t>2</w:t>
      </w:r>
      <w:r w:rsidR="00156751">
        <w:fldChar w:fldCharType="end"/>
      </w:r>
      <w:r w:rsidR="00156751">
        <w:t>)</w:t>
      </w:r>
      <w:r>
        <w:t>.</w:t>
      </w:r>
      <w:r w:rsidR="006549D0">
        <w:t xml:space="preserve"> </w:t>
      </w:r>
      <w:r w:rsidR="007A7715">
        <w:t xml:space="preserve">Pragmatically, the sampling regime must fit within the time constraints allowed for </w:t>
      </w:r>
      <w:r w:rsidR="00CF55FD">
        <w:t xml:space="preserve">preparing the </w:t>
      </w:r>
      <w:r w:rsidR="007A7715">
        <w:t>EI</w:t>
      </w:r>
      <w:r w:rsidR="00BB1DD0">
        <w:t>A</w:t>
      </w:r>
      <w:r w:rsidR="007A7715">
        <w:t>, which means long-term data sets will not be available for most types of data.</w:t>
      </w:r>
    </w:p>
    <w:p w14:paraId="31C8BC87" w14:textId="77777777" w:rsidR="00C0629C" w:rsidRPr="006F13EE" w:rsidRDefault="007A7715" w:rsidP="00C0629C">
      <w:pPr>
        <w:pStyle w:val="BodyText"/>
      </w:pPr>
      <w:r>
        <w:t xml:space="preserve">Each GDE in </w:t>
      </w:r>
      <w:r w:rsidR="00B564D2">
        <w:t>a project</w:t>
      </w:r>
      <w:r>
        <w:t xml:space="preserve"> impact area should be surveyed prior to </w:t>
      </w:r>
      <w:r w:rsidR="008575D8">
        <w:t xml:space="preserve">commencing </w:t>
      </w:r>
      <w:r w:rsidR="00D04B39">
        <w:t>operations,</w:t>
      </w:r>
      <w:r w:rsidR="005247DC">
        <w:t xml:space="preserve"> and </w:t>
      </w:r>
      <w:r w:rsidR="00D04B39">
        <w:t>the levels of detail and sampling intensity are</w:t>
      </w:r>
      <w:r w:rsidR="005247DC">
        <w:t xml:space="preserve"> guided by GDE ecological value and condition</w:t>
      </w:r>
      <w:r w:rsidR="00C1050D">
        <w:t xml:space="preserve"> (section 2.2)</w:t>
      </w:r>
      <w:r w:rsidR="005247DC">
        <w:t xml:space="preserve">, level of groundwater dependence </w:t>
      </w:r>
      <w:r w:rsidR="00D04B39">
        <w:t xml:space="preserve">and </w:t>
      </w:r>
      <w:r w:rsidR="005247DC">
        <w:t xml:space="preserve">vulnerability (see </w:t>
      </w:r>
      <w:r w:rsidR="00D04B39">
        <w:t>s</w:t>
      </w:r>
      <w:r w:rsidR="005247DC">
        <w:t>ection 7.2)</w:t>
      </w:r>
      <w:r w:rsidR="005871EE">
        <w:t>. A</w:t>
      </w:r>
      <w:r>
        <w:t xml:space="preserve"> higher level of survey effort</w:t>
      </w:r>
      <w:r w:rsidR="005871EE">
        <w:t xml:space="preserve"> should be</w:t>
      </w:r>
      <w:r>
        <w:t xml:space="preserve"> allocated to GDEs that have a high ecological value </w:t>
      </w:r>
      <w:r w:rsidR="00D04B39">
        <w:t>and/</w:t>
      </w:r>
      <w:r>
        <w:t>or are potentially at higher risk</w:t>
      </w:r>
      <w:r w:rsidR="00C0629C">
        <w:t xml:space="preserve">. </w:t>
      </w:r>
    </w:p>
    <w:p w14:paraId="31C8BC88" w14:textId="77777777" w:rsidR="00C0629C" w:rsidRDefault="006549D0" w:rsidP="00B67B3E">
      <w:pPr>
        <w:pStyle w:val="BodyText"/>
      </w:pPr>
      <w:r>
        <w:t>Remotely sensed data offers an opportunity to cover broad areas quickly</w:t>
      </w:r>
      <w:r w:rsidR="00B564D2">
        <w:t xml:space="preserve"> and economically (see Section </w:t>
      </w:r>
      <w:r w:rsidR="00B564D2" w:rsidRPr="00C1050D">
        <w:t>5.</w:t>
      </w:r>
      <w:r w:rsidR="00795A5A">
        <w:t>2</w:t>
      </w:r>
      <w:r w:rsidR="00B564D2" w:rsidRPr="00C1050D">
        <w:t>.</w:t>
      </w:r>
      <w:r w:rsidR="00795A5A">
        <w:t>3</w:t>
      </w:r>
      <w:r w:rsidR="00B564D2" w:rsidRPr="00C1050D">
        <w:t>)</w:t>
      </w:r>
      <w:r w:rsidRPr="00C1050D">
        <w:t>,</w:t>
      </w:r>
      <w:r>
        <w:t xml:space="preserve"> and can be used to demonstrate changes through time in terrestrial</w:t>
      </w:r>
      <w:r w:rsidR="00D04B39">
        <w:t>ly</w:t>
      </w:r>
      <w:r>
        <w:t xml:space="preserve"> expressed GDEs such as river </w:t>
      </w:r>
      <w:proofErr w:type="spellStart"/>
      <w:r>
        <w:t>baseflows</w:t>
      </w:r>
      <w:proofErr w:type="spellEnd"/>
      <w:r>
        <w:t xml:space="preserve">, springs and vegetation communities.  However, for many </w:t>
      </w:r>
      <w:r w:rsidR="005871EE">
        <w:t>GDEs</w:t>
      </w:r>
      <w:r>
        <w:t xml:space="preserve">, field surveys are required to determine baseline condition. </w:t>
      </w:r>
      <w:r w:rsidR="002709FC">
        <w:t>Prior to conducting field survey</w:t>
      </w:r>
      <w:r w:rsidR="00B564D2">
        <w:t>s</w:t>
      </w:r>
      <w:r w:rsidR="002709FC">
        <w:t xml:space="preserve">, proponents need to consider the type of data required. </w:t>
      </w:r>
      <w:r w:rsidR="005502DF">
        <w:t>Data</w:t>
      </w:r>
      <w:r w:rsidR="002709FC">
        <w:t xml:space="preserve"> needs to sufficiently fill any gaps identified in the desktop phase of the assessment</w:t>
      </w:r>
      <w:r w:rsidR="00B564D2">
        <w:t xml:space="preserve"> (</w:t>
      </w:r>
      <w:r w:rsidR="00D04B39">
        <w:t>s</w:t>
      </w:r>
      <w:r w:rsidR="00B564D2">
        <w:t>ection 5)</w:t>
      </w:r>
      <w:r w:rsidR="002709FC">
        <w:t xml:space="preserve">, be useful </w:t>
      </w:r>
      <w:r w:rsidR="00B564D2">
        <w:t>for</w:t>
      </w:r>
      <w:r w:rsidR="002709FC">
        <w:t xml:space="preserve"> indicating </w:t>
      </w:r>
      <w:r w:rsidR="005247DC">
        <w:t xml:space="preserve">ecological </w:t>
      </w:r>
      <w:r w:rsidR="002709FC">
        <w:t>value,</w:t>
      </w:r>
      <w:r w:rsidR="005502DF">
        <w:t xml:space="preserve"> and establish whether the ecosystem has a conn</w:t>
      </w:r>
      <w:r w:rsidR="00C0629C">
        <w:t>ection to an underlying aquifer</w:t>
      </w:r>
      <w:r w:rsidR="00D8198A">
        <w:t xml:space="preserve"> (see </w:t>
      </w:r>
      <w:proofErr w:type="spellStart"/>
      <w:r w:rsidR="00D8198A">
        <w:t>Eamus</w:t>
      </w:r>
      <w:proofErr w:type="spellEnd"/>
      <w:r w:rsidR="00D8198A">
        <w:t xml:space="preserve"> et al. </w:t>
      </w:r>
      <w:r w:rsidR="00D04B39">
        <w:t>(</w:t>
      </w:r>
      <w:r w:rsidR="00D8198A">
        <w:t>2006</w:t>
      </w:r>
      <w:r w:rsidR="00D04B39">
        <w:t>)</w:t>
      </w:r>
      <w:r w:rsidR="00D8198A">
        <w:t xml:space="preserve"> and </w:t>
      </w:r>
      <w:r w:rsidR="00D8198A">
        <w:fldChar w:fldCharType="begin"/>
      </w:r>
      <w:r w:rsidR="00D8198A">
        <w:instrText xml:space="preserve"> REF _Ref508891894 \h </w:instrText>
      </w:r>
      <w:r w:rsidR="00D8198A">
        <w:fldChar w:fldCharType="separate"/>
      </w:r>
      <w:r w:rsidR="00E96B43">
        <w:t xml:space="preserve">Table </w:t>
      </w:r>
      <w:r w:rsidR="00E96B43">
        <w:rPr>
          <w:noProof/>
        </w:rPr>
        <w:t>1</w:t>
      </w:r>
      <w:r w:rsidR="00D8198A">
        <w:fldChar w:fldCharType="end"/>
      </w:r>
      <w:r w:rsidR="00D8198A">
        <w:t xml:space="preserve"> for criteria to determine groundwater connection)</w:t>
      </w:r>
      <w:r w:rsidR="00C0629C">
        <w:t>.</w:t>
      </w:r>
    </w:p>
    <w:p w14:paraId="31C8BC89" w14:textId="77777777" w:rsidR="005502DF" w:rsidRDefault="00BD0CD7" w:rsidP="00B67B3E">
      <w:pPr>
        <w:pStyle w:val="BodyText"/>
      </w:pPr>
      <w:r>
        <w:rPr>
          <w:noProof/>
        </w:rPr>
        <w:drawing>
          <wp:anchor distT="0" distB="0" distL="114300" distR="114300" simplePos="0" relativeHeight="251904512" behindDoc="0" locked="0" layoutInCell="1" allowOverlap="1" wp14:anchorId="31C8C300" wp14:editId="31C8C301">
            <wp:simplePos x="0" y="0"/>
            <wp:positionH relativeFrom="margin">
              <wp:align>right</wp:align>
            </wp:positionH>
            <wp:positionV relativeFrom="paragraph">
              <wp:posOffset>10122</wp:posOffset>
            </wp:positionV>
            <wp:extent cx="3312795" cy="2192020"/>
            <wp:effectExtent l="0" t="0" r="1905" b="0"/>
            <wp:wrapThrough wrapText="bothSides">
              <wp:wrapPolygon edited="0">
                <wp:start x="0" y="0"/>
                <wp:lineTo x="0" y="21400"/>
                <wp:lineTo x="21488" y="21400"/>
                <wp:lineTo x="21488"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SC_7733v2.jpg"/>
                    <pic:cNvPicPr/>
                  </pic:nvPicPr>
                  <pic:blipFill>
                    <a:blip r:embed="rId72" cstate="email">
                      <a:extLst>
                        <a:ext uri="{28A0092B-C50C-407E-A947-70E740481C1C}">
                          <a14:useLocalDpi xmlns:a14="http://schemas.microsoft.com/office/drawing/2010/main"/>
                        </a:ext>
                      </a:extLst>
                    </a:blip>
                    <a:stretch>
                      <a:fillRect/>
                    </a:stretch>
                  </pic:blipFill>
                  <pic:spPr>
                    <a:xfrm>
                      <a:off x="0" y="0"/>
                      <a:ext cx="3312795" cy="2192020"/>
                    </a:xfrm>
                    <a:prstGeom prst="rect">
                      <a:avLst/>
                    </a:prstGeom>
                  </pic:spPr>
                </pic:pic>
              </a:graphicData>
            </a:graphic>
            <wp14:sizeRelH relativeFrom="margin">
              <wp14:pctWidth>0</wp14:pctWidth>
            </wp14:sizeRelH>
            <wp14:sizeRelV relativeFrom="margin">
              <wp14:pctHeight>0</wp14:pctHeight>
            </wp14:sizeRelV>
          </wp:anchor>
        </w:drawing>
      </w:r>
      <w:r w:rsidR="00C0629C">
        <w:t>Critically, ecological data needs to be paired with groundwater data so the link between GDE condition and groundwater level and quality can be determined</w:t>
      </w:r>
      <w:r w:rsidR="00C27BD9">
        <w:t xml:space="preserve"> </w:t>
      </w:r>
      <w:r w:rsidR="00C0629C">
        <w:t>and monitored</w:t>
      </w:r>
      <w:r w:rsidR="00D04B39">
        <w:t>. H</w:t>
      </w:r>
      <w:r w:rsidR="005871EE">
        <w:t>owever</w:t>
      </w:r>
      <w:r w:rsidR="008E1522">
        <w:t>,</w:t>
      </w:r>
      <w:r w:rsidR="005871EE">
        <w:t xml:space="preserve"> consideration should be given to lag effects (e.g. Red Gum tree decline may take </w:t>
      </w:r>
      <w:r w:rsidR="00301D7B">
        <w:t>six</w:t>
      </w:r>
      <w:r w:rsidR="005871EE">
        <w:t xml:space="preserve"> months to become obvious after groundwater lowering) and antecedent conditions </w:t>
      </w:r>
      <w:r w:rsidR="00D04B39" w:rsidRPr="00D04B39">
        <w:t xml:space="preserve">that might influence current ecological state </w:t>
      </w:r>
      <w:r w:rsidR="008E1522">
        <w:t>(</w:t>
      </w:r>
      <w:r w:rsidR="00D04B39">
        <w:t xml:space="preserve">e.g. </w:t>
      </w:r>
      <w:r w:rsidR="008E1522">
        <w:t>health of a GDE might have declined and be on a declin</w:t>
      </w:r>
      <w:r w:rsidR="002A299E">
        <w:t>in</w:t>
      </w:r>
      <w:r w:rsidR="008E1522">
        <w:t>g trajectory before operation</w:t>
      </w:r>
      <w:r w:rsidR="002A299E">
        <w:t>s</w:t>
      </w:r>
      <w:r w:rsidR="008E1522">
        <w:t>)</w:t>
      </w:r>
      <w:r w:rsidR="00C0629C">
        <w:t>. The interaction between a patch of vegetation and groundwater that i</w:t>
      </w:r>
      <w:r w:rsidR="00A50648">
        <w:t>t</w:t>
      </w:r>
      <w:r w:rsidR="00C0629C">
        <w:t xml:space="preserve"> </w:t>
      </w:r>
      <w:r w:rsidR="00C0629C" w:rsidRPr="00C8059A">
        <w:t>depends on can be better understood (and later, better m</w:t>
      </w:r>
      <w:r w:rsidR="00C27BD9" w:rsidRPr="00C8059A">
        <w:t>anaged</w:t>
      </w:r>
      <w:r w:rsidR="00C0629C" w:rsidRPr="00C8059A">
        <w:t>) if groundwater data comes from a</w:t>
      </w:r>
      <w:r w:rsidR="00B564D2">
        <w:t xml:space="preserve">s near the source as possible. </w:t>
      </w:r>
      <w:r w:rsidR="00C0629C" w:rsidRPr="00C8059A">
        <w:t xml:space="preserve">Once a GDE has been identified, one or more bores should be installed nearby </w:t>
      </w:r>
      <w:r w:rsidR="000B3864" w:rsidRPr="00C8059A">
        <w:t>to monitor</w:t>
      </w:r>
      <w:r w:rsidR="00C0629C" w:rsidRPr="00C8059A">
        <w:t xml:space="preserve"> local groundwater</w:t>
      </w:r>
      <w:r w:rsidR="000B3864" w:rsidRPr="00C8059A">
        <w:t xml:space="preserve"> and other</w:t>
      </w:r>
      <w:r w:rsidR="00C0629C" w:rsidRPr="00C8059A">
        <w:t xml:space="preserve"> e</w:t>
      </w:r>
      <w:r w:rsidR="00A50648">
        <w:t>cologically relevant data (e.g.</w:t>
      </w:r>
      <w:r w:rsidR="00C0629C" w:rsidRPr="00C8059A">
        <w:t xml:space="preserve"> electrical conductivity, pH, dissolved oxygen concentration, dissolved</w:t>
      </w:r>
      <w:r w:rsidR="00C0629C">
        <w:t xml:space="preserve"> organic carbon and nutrient concentrations).</w:t>
      </w:r>
      <w:r w:rsidR="005502DF">
        <w:t xml:space="preserve"> </w:t>
      </w:r>
    </w:p>
    <w:p w14:paraId="31C8BC8A" w14:textId="77777777" w:rsidR="008E1522" w:rsidRDefault="008E1522" w:rsidP="00B67B3E">
      <w:pPr>
        <w:pStyle w:val="BodyText"/>
      </w:pPr>
      <w:r>
        <w:t>Sampling frequency will vary between different GDE types</w:t>
      </w:r>
      <w:r w:rsidR="00D04B39">
        <w:t>,</w:t>
      </w:r>
      <w:r>
        <w:t xml:space="preserve"> and is often constrained by funds available to undertake sampling. </w:t>
      </w:r>
      <w:r w:rsidR="00D04B39">
        <w:t>Canopy cover of r</w:t>
      </w:r>
      <w:r>
        <w:t>iparian vegetation</w:t>
      </w:r>
      <w:r w:rsidR="00D04B39">
        <w:t>,</w:t>
      </w:r>
      <w:r>
        <w:t xml:space="preserve"> for example, will </w:t>
      </w:r>
      <w:r w:rsidR="006B0FD4">
        <w:t xml:space="preserve">often </w:t>
      </w:r>
      <w:r w:rsidR="00D04B39">
        <w:t>change</w:t>
      </w:r>
      <w:r>
        <w:t xml:space="preserve"> in relation to season and water availability. If water is scar</w:t>
      </w:r>
      <w:r w:rsidR="00D04B39">
        <w:t>c</w:t>
      </w:r>
      <w:r>
        <w:t>e or its extraction is energy</w:t>
      </w:r>
      <w:r w:rsidR="00D04B39">
        <w:t>-</w:t>
      </w:r>
      <w:r>
        <w:t xml:space="preserve">limited, native </w:t>
      </w:r>
      <w:r w:rsidR="00D04B39">
        <w:t>e</w:t>
      </w:r>
      <w:r>
        <w:t>ucalypts will drop leaves and reduce water use to compensate (Doody et al., 2009</w:t>
      </w:r>
      <w:r w:rsidR="000C0981">
        <w:t>; 2015</w:t>
      </w:r>
      <w:r>
        <w:t xml:space="preserve">). Sampling at least quarterly is advised to </w:t>
      </w:r>
      <w:r w:rsidR="00D04B39">
        <w:t xml:space="preserve">assess </w:t>
      </w:r>
      <w:r>
        <w:t xml:space="preserve">the seasonal trends related to vegetation dynamics. This can be supplemented with remote sensing </w:t>
      </w:r>
      <w:r w:rsidR="00D04B39">
        <w:t xml:space="preserve">of </w:t>
      </w:r>
      <w:r>
        <w:t>greenness to establish a long</w:t>
      </w:r>
      <w:r w:rsidR="00D04B39">
        <w:t>-</w:t>
      </w:r>
      <w:r>
        <w:t>term baseline of seasonal canopy response</w:t>
      </w:r>
      <w:r w:rsidR="006B0FD4">
        <w:t xml:space="preserve"> trends. </w:t>
      </w:r>
      <w:r w:rsidR="000133D3">
        <w:t xml:space="preserve">GDEs that </w:t>
      </w:r>
      <w:r w:rsidR="00173A2F">
        <w:t xml:space="preserve">potentially </w:t>
      </w:r>
      <w:r w:rsidR="000133D3">
        <w:t>serve as early warning indicators of groundwater change should be sampled with higher frequency (e.g. stygofauna).</w:t>
      </w:r>
    </w:p>
    <w:p w14:paraId="31C8BC8B" w14:textId="77777777" w:rsidR="00490A72" w:rsidRDefault="00490A72" w:rsidP="00B67B3E">
      <w:pPr>
        <w:pStyle w:val="BodyText"/>
      </w:pPr>
      <w:r>
        <w:t xml:space="preserve">All non-spatial data (e.g. water quality, ecological condition, groundwater level) should be linked to a known point on the landscape, such as a GPS point, </w:t>
      </w:r>
      <w:r w:rsidR="00C8059A">
        <w:t>for</w:t>
      </w:r>
      <w:r>
        <w:t xml:space="preserve"> inclu</w:t>
      </w:r>
      <w:r w:rsidR="00C8059A">
        <w:t>sion</w:t>
      </w:r>
      <w:r>
        <w:t xml:space="preserve"> in spatial databases. Maps are often the main visual means of displaying GDE location and condition, so </w:t>
      </w:r>
      <w:r w:rsidR="00A50648">
        <w:t>an ability</w:t>
      </w:r>
      <w:r>
        <w:t xml:space="preserve"> to overlay data on these maps can be important for </w:t>
      </w:r>
      <w:r w:rsidR="00173A2F">
        <w:t xml:space="preserve">illustrating </w:t>
      </w:r>
      <w:r>
        <w:t>interactions between groundwater regime and ecosystem condition</w:t>
      </w:r>
      <w:r w:rsidR="00516DAA">
        <w:t xml:space="preserve"> (see example in </w:t>
      </w:r>
      <w:r w:rsidR="00516DAA">
        <w:fldChar w:fldCharType="begin"/>
      </w:r>
      <w:r w:rsidR="00516DAA">
        <w:instrText xml:space="preserve"> REF _Ref509643978 \h </w:instrText>
      </w:r>
      <w:r w:rsidR="00516DAA">
        <w:fldChar w:fldCharType="separate"/>
      </w:r>
      <w:r w:rsidR="00E96B43">
        <w:t xml:space="preserve">Figure </w:t>
      </w:r>
      <w:r w:rsidR="00E96B43">
        <w:rPr>
          <w:noProof/>
        </w:rPr>
        <w:t>6</w:t>
      </w:r>
      <w:r w:rsidR="00516DAA">
        <w:fldChar w:fldCharType="end"/>
      </w:r>
      <w:r w:rsidR="008627C6">
        <w:t>)</w:t>
      </w:r>
      <w:r>
        <w:t>.</w:t>
      </w:r>
    </w:p>
    <w:p w14:paraId="31C8BC8C" w14:textId="77777777" w:rsidR="005871EE" w:rsidRDefault="002C1121" w:rsidP="002C1121">
      <w:pPr>
        <w:pStyle w:val="BodyText"/>
        <w:jc w:val="center"/>
      </w:pPr>
      <w:r>
        <w:rPr>
          <w:noProof/>
        </w:rPr>
        <w:lastRenderedPageBreak/>
        <w:drawing>
          <wp:inline distT="0" distB="0" distL="0" distR="0" wp14:anchorId="31C8C302" wp14:editId="31C8C303">
            <wp:extent cx="4372897" cy="4308845"/>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18-03-24 20.20.50.png"/>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4379535" cy="4315386"/>
                    </a:xfrm>
                    <a:prstGeom prst="rect">
                      <a:avLst/>
                    </a:prstGeom>
                    <a:ln>
                      <a:noFill/>
                    </a:ln>
                    <a:extLst>
                      <a:ext uri="{53640926-AAD7-44D8-BBD7-CCE9431645EC}">
                        <a14:shadowObscured xmlns:a14="http://schemas.microsoft.com/office/drawing/2010/main"/>
                      </a:ext>
                    </a:extLst>
                  </pic:spPr>
                </pic:pic>
              </a:graphicData>
            </a:graphic>
          </wp:inline>
        </w:drawing>
      </w:r>
    </w:p>
    <w:p w14:paraId="31C8BC8D" w14:textId="77777777" w:rsidR="005871EE" w:rsidRDefault="005871EE" w:rsidP="005871EE">
      <w:pPr>
        <w:pStyle w:val="Caption"/>
      </w:pPr>
      <w:bookmarkStart w:id="60" w:name="_Ref509643978"/>
      <w:bookmarkStart w:id="61" w:name="_Toc509991073"/>
      <w:r>
        <w:t xml:space="preserve">Figure </w:t>
      </w:r>
      <w:r w:rsidR="00085933">
        <w:fldChar w:fldCharType="begin"/>
      </w:r>
      <w:r w:rsidR="00085933">
        <w:instrText xml:space="preserve"> SEQ Figure \* ARABIC </w:instrText>
      </w:r>
      <w:r w:rsidR="00085933">
        <w:fldChar w:fldCharType="separate"/>
      </w:r>
      <w:r w:rsidR="00E96B43">
        <w:rPr>
          <w:noProof/>
        </w:rPr>
        <w:t>6</w:t>
      </w:r>
      <w:r w:rsidR="00085933">
        <w:rPr>
          <w:noProof/>
        </w:rPr>
        <w:fldChar w:fldCharType="end"/>
      </w:r>
      <w:bookmarkEnd w:id="60"/>
      <w:r>
        <w:t xml:space="preserve">. </w:t>
      </w:r>
      <w:r w:rsidR="002C1121">
        <w:t>Mapping example demonstrating the combination</w:t>
      </w:r>
      <w:r w:rsidR="00173A2F">
        <w:t xml:space="preserve"> of</w:t>
      </w:r>
      <w:r w:rsidR="002C1121">
        <w:t xml:space="preserve"> overlay</w:t>
      </w:r>
      <w:r w:rsidR="00173A2F">
        <w:t>ing maps</w:t>
      </w:r>
      <w:r w:rsidR="002C1121">
        <w:t xml:space="preserve"> of depth to groundwater</w:t>
      </w:r>
      <w:r w:rsidR="007835C5">
        <w:t xml:space="preserve"> (top left)</w:t>
      </w:r>
      <w:r w:rsidR="002C1121">
        <w:t xml:space="preserve"> and vegetation</w:t>
      </w:r>
      <w:r w:rsidR="007835C5">
        <w:t xml:space="preserve"> (top right) </w:t>
      </w:r>
      <w:r w:rsidR="00173A2F">
        <w:t xml:space="preserve">to reveal </w:t>
      </w:r>
      <w:r w:rsidR="007835C5">
        <w:t xml:space="preserve">potential GDEs </w:t>
      </w:r>
      <w:r w:rsidR="00173A2F">
        <w:t>from the</w:t>
      </w:r>
      <w:r w:rsidR="007835C5">
        <w:t xml:space="preserve"> intersection between the two</w:t>
      </w:r>
      <w:r w:rsidR="00173A2F">
        <w:t xml:space="preserve"> (bottom)</w:t>
      </w:r>
      <w:r w:rsidR="005247DC">
        <w:t>,</w:t>
      </w:r>
      <w:r w:rsidR="007835C5">
        <w:t xml:space="preserve"> in three classes where groundwater is 0-5</w:t>
      </w:r>
      <w:r w:rsidR="00173A2F">
        <w:t xml:space="preserve"> </w:t>
      </w:r>
      <w:r w:rsidR="007835C5">
        <w:t xml:space="preserve">m, 5-10 </w:t>
      </w:r>
      <w:r w:rsidR="00173A2F">
        <w:t xml:space="preserve">m </w:t>
      </w:r>
      <w:r w:rsidR="007835C5">
        <w:t>and 10-20</w:t>
      </w:r>
      <w:r w:rsidR="00173A2F">
        <w:t xml:space="preserve"> </w:t>
      </w:r>
      <w:r w:rsidR="007835C5">
        <w:t xml:space="preserve">m near Hill River in </w:t>
      </w:r>
      <w:r w:rsidR="00173A2F">
        <w:t xml:space="preserve">the </w:t>
      </w:r>
      <w:r w:rsidR="008D3E6D">
        <w:t xml:space="preserve">Northern Perth Basin, </w:t>
      </w:r>
      <w:r w:rsidR="007835C5">
        <w:t>Western Australia. Vegetation is not considered a GDE when groundwater depth is greater than 20</w:t>
      </w:r>
      <w:r w:rsidR="00173A2F">
        <w:t xml:space="preserve"> </w:t>
      </w:r>
      <w:r w:rsidR="007835C5">
        <w:t>m</w:t>
      </w:r>
      <w:r w:rsidR="008D3E6D">
        <w:t xml:space="preserve"> in this example</w:t>
      </w:r>
      <w:r w:rsidR="007835C5">
        <w:t>. SOURCE: Rutherford et al., 2005.</w:t>
      </w:r>
      <w:bookmarkEnd w:id="61"/>
    </w:p>
    <w:p w14:paraId="31C8BC8E" w14:textId="77777777" w:rsidR="006549D0" w:rsidRDefault="006549D0" w:rsidP="00B67B3E">
      <w:pPr>
        <w:pStyle w:val="BodyText"/>
      </w:pPr>
      <w:r>
        <w:t>It may also be possible to use</w:t>
      </w:r>
      <w:r w:rsidR="00A50648">
        <w:t xml:space="preserve"> the</w:t>
      </w:r>
      <w:r>
        <w:t xml:space="preserve"> data collected for other sections of </w:t>
      </w:r>
      <w:r w:rsidR="00A50648">
        <w:t>an</w:t>
      </w:r>
      <w:r w:rsidR="00BB1DD0">
        <w:t xml:space="preserve"> EIA. Most EIA</w:t>
      </w:r>
      <w:r>
        <w:t xml:space="preserve"> documents include a chapter assessing vegetation communities</w:t>
      </w:r>
      <w:r w:rsidR="00516DAA">
        <w:t xml:space="preserve"> (including riverine vegetation)</w:t>
      </w:r>
      <w:r>
        <w:t>, and this can be used to indicate value (</w:t>
      </w:r>
      <w:r w:rsidR="00173A2F">
        <w:t xml:space="preserve">e.g. </w:t>
      </w:r>
      <w:r>
        <w:t>biodiversity, presence of thre</w:t>
      </w:r>
      <w:r w:rsidR="00C27BD9">
        <w:t>atened species or communities</w:t>
      </w:r>
      <w:r>
        <w:t>) of communities that are also groundwater</w:t>
      </w:r>
      <w:r w:rsidR="00173A2F">
        <w:t>-</w:t>
      </w:r>
      <w:r>
        <w:t xml:space="preserve">dependent. </w:t>
      </w:r>
    </w:p>
    <w:p w14:paraId="31C8BC8F" w14:textId="77777777" w:rsidR="00B67B3E" w:rsidRDefault="00E41B3A" w:rsidP="00F3119C">
      <w:pPr>
        <w:pStyle w:val="Heading2"/>
      </w:pPr>
      <w:bookmarkStart w:id="62" w:name="_Toc509996483"/>
      <w:r>
        <w:t>Survey level of detail</w:t>
      </w:r>
      <w:bookmarkEnd w:id="62"/>
    </w:p>
    <w:p w14:paraId="31C8BC90" w14:textId="77777777" w:rsidR="004E146C" w:rsidRDefault="004E146C" w:rsidP="00B67B3E">
      <w:pPr>
        <w:pStyle w:val="BodyText"/>
      </w:pPr>
      <w:r>
        <w:t xml:space="preserve">Generally, GDEs </w:t>
      </w:r>
      <w:r w:rsidR="007A7715">
        <w:t xml:space="preserve">should be sampled at </w:t>
      </w:r>
      <w:r>
        <w:t>a level of detail</w:t>
      </w:r>
      <w:r w:rsidR="007A7715">
        <w:t xml:space="preserve"> </w:t>
      </w:r>
      <w:r>
        <w:t xml:space="preserve">sufficient to indicate the </w:t>
      </w:r>
      <w:r w:rsidR="007A7715">
        <w:t>degree</w:t>
      </w:r>
      <w:r>
        <w:t xml:space="preserve"> of groundwater dependence and their ecological</w:t>
      </w:r>
      <w:r w:rsidR="00367448">
        <w:t xml:space="preserve"> condition and</w:t>
      </w:r>
      <w:r>
        <w:t xml:space="preserve"> value. </w:t>
      </w:r>
      <w:r w:rsidR="007A7715">
        <w:t xml:space="preserve">For this, the survey must include enough replication </w:t>
      </w:r>
      <w:r w:rsidR="001D08E6">
        <w:t xml:space="preserve">of </w:t>
      </w:r>
      <w:r w:rsidR="007A7715">
        <w:t xml:space="preserve">each GDE to enable an understanding of their ecological condition </w:t>
      </w:r>
      <w:r w:rsidR="00367448">
        <w:t>over</w:t>
      </w:r>
      <w:r w:rsidR="007A7715">
        <w:t xml:space="preserve"> </w:t>
      </w:r>
      <w:r w:rsidR="00173A2F">
        <w:t xml:space="preserve">space and </w:t>
      </w:r>
      <w:r w:rsidR="007A7715">
        <w:t>time. Greater detail will be needed if threatened species</w:t>
      </w:r>
      <w:r w:rsidR="001D08E6">
        <w:t xml:space="preserve"> exist</w:t>
      </w:r>
      <w:r w:rsidR="007A7715">
        <w:t xml:space="preserve"> or other significant components</w:t>
      </w:r>
      <w:r w:rsidR="001D08E6">
        <w:t xml:space="preserve"> are present </w:t>
      </w:r>
      <w:r w:rsidR="007A7715">
        <w:t>that may be impacted by changes to the groundwater regime</w:t>
      </w:r>
      <w:r w:rsidR="00367448">
        <w:t xml:space="preserve"> or groundwater quality</w:t>
      </w:r>
      <w:r w:rsidR="007A7715">
        <w:t xml:space="preserve">. For example, if a floristics survey finds a threatened orchid that is reliant on the hydraulic redistribution of water by a patch of </w:t>
      </w:r>
      <w:r w:rsidR="00351AA3">
        <w:t>groundwater</w:t>
      </w:r>
      <w:r w:rsidR="00173A2F">
        <w:t>-</w:t>
      </w:r>
      <w:r w:rsidR="00351AA3">
        <w:t>dependent</w:t>
      </w:r>
      <w:r w:rsidR="007A7715">
        <w:t xml:space="preserve"> trees</w:t>
      </w:r>
      <w:r w:rsidR="00C0629C">
        <w:t xml:space="preserve">, the population of orchids occurring in the patch of vegetation should be mapped so changes through time are evident. </w:t>
      </w:r>
      <w:r w:rsidR="007A7715">
        <w:t xml:space="preserve">  </w:t>
      </w:r>
    </w:p>
    <w:p w14:paraId="31C8BC91" w14:textId="77777777" w:rsidR="00C0629C" w:rsidRDefault="00C0629C" w:rsidP="00B67B3E">
      <w:pPr>
        <w:pStyle w:val="BodyText"/>
      </w:pPr>
      <w:r>
        <w:t xml:space="preserve">Surveys need to adequately </w:t>
      </w:r>
      <w:r w:rsidR="00F94D3D">
        <w:t>consider:</w:t>
      </w:r>
      <w:r>
        <w:t xml:space="preserve"> </w:t>
      </w:r>
    </w:p>
    <w:p w14:paraId="31C8BC92" w14:textId="77777777" w:rsidR="00C0629C" w:rsidRDefault="00C0629C" w:rsidP="00F1192F">
      <w:pPr>
        <w:pStyle w:val="BodyText"/>
        <w:numPr>
          <w:ilvl w:val="0"/>
          <w:numId w:val="22"/>
        </w:numPr>
      </w:pPr>
      <w:r>
        <w:t>the spatial exten</w:t>
      </w:r>
      <w:r w:rsidR="001D08E6">
        <w:t>t</w:t>
      </w:r>
      <w:r>
        <w:t xml:space="preserve"> of a GDE, ensuring there are enough data points to </w:t>
      </w:r>
      <w:r w:rsidR="00367448">
        <w:t xml:space="preserve">represent </w:t>
      </w:r>
      <w:r w:rsidR="00864B47">
        <w:t xml:space="preserve">a </w:t>
      </w:r>
      <w:r w:rsidR="00367448">
        <w:t>GDE</w:t>
      </w:r>
      <w:r w:rsidR="00173A2F">
        <w:t>’</w:t>
      </w:r>
      <w:r w:rsidR="00864B47">
        <w:t>s</w:t>
      </w:r>
      <w:r w:rsidR="00367448">
        <w:t xml:space="preserve"> </w:t>
      </w:r>
      <w:r w:rsidR="00864B47">
        <w:t>characteristics</w:t>
      </w:r>
      <w:r w:rsidR="00367448">
        <w:t xml:space="preserve"> across a gradient </w:t>
      </w:r>
      <w:r w:rsidR="00864B47">
        <w:t>of depth to groundwater (for example)</w:t>
      </w:r>
      <w:r>
        <w:t>, and that there are enough suitable bores nearby so ecological condition can be paired with groundwater data (</w:t>
      </w:r>
      <w:r w:rsidR="00173A2F">
        <w:t xml:space="preserve">e.g. </w:t>
      </w:r>
      <w:r>
        <w:t>water level and water quality)</w:t>
      </w:r>
    </w:p>
    <w:p w14:paraId="31C8BC93" w14:textId="77777777" w:rsidR="00F94D3D" w:rsidRDefault="00F94D3D" w:rsidP="00F1192F">
      <w:pPr>
        <w:pStyle w:val="BodyText"/>
        <w:numPr>
          <w:ilvl w:val="0"/>
          <w:numId w:val="22"/>
        </w:numPr>
      </w:pPr>
      <w:r>
        <w:t>the number of surveys needed at each site to understand temporal patterns</w:t>
      </w:r>
      <w:r w:rsidR="00864B47">
        <w:t xml:space="preserve"> (e.g. seasonal or occasional water use)</w:t>
      </w:r>
      <w:r>
        <w:t xml:space="preserve"> in </w:t>
      </w:r>
      <w:r w:rsidR="00173A2F">
        <w:t xml:space="preserve">each </w:t>
      </w:r>
      <w:r>
        <w:t>GDE</w:t>
      </w:r>
    </w:p>
    <w:p w14:paraId="31C8BC94" w14:textId="77777777" w:rsidR="001D08E6" w:rsidRDefault="00490A72" w:rsidP="00F1192F">
      <w:pPr>
        <w:pStyle w:val="BodyText"/>
        <w:numPr>
          <w:ilvl w:val="0"/>
          <w:numId w:val="22"/>
        </w:numPr>
      </w:pPr>
      <w:proofErr w:type="gramStart"/>
      <w:r>
        <w:t>variables</w:t>
      </w:r>
      <w:proofErr w:type="gramEnd"/>
      <w:r>
        <w:t xml:space="preserve"> required, and </w:t>
      </w:r>
      <w:r w:rsidR="00F94D3D">
        <w:t xml:space="preserve">level of detail </w:t>
      </w:r>
      <w:r>
        <w:t xml:space="preserve">needed </w:t>
      </w:r>
      <w:r w:rsidRPr="00D76DFA">
        <w:t>to</w:t>
      </w:r>
      <w:r w:rsidR="00F94D3D" w:rsidRPr="00D76DFA">
        <w:t xml:space="preserve"> adequately assess GDE</w:t>
      </w:r>
      <w:r w:rsidR="00F94D3D">
        <w:t xml:space="preserve"> value (e.g. for stygofauna</w:t>
      </w:r>
      <w:r w:rsidR="00173A2F">
        <w:t>,</w:t>
      </w:r>
      <w:r w:rsidR="001D08E6">
        <w:t xml:space="preserve"> should</w:t>
      </w:r>
      <w:r w:rsidR="00F94D3D">
        <w:t xml:space="preserve"> identification be taken to </w:t>
      </w:r>
      <w:r w:rsidR="00173A2F">
        <w:t>s</w:t>
      </w:r>
      <w:r w:rsidR="00F94D3D">
        <w:t>pecies level</w:t>
      </w:r>
      <w:r w:rsidR="000B3864" w:rsidRPr="00D76DFA">
        <w:t>?</w:t>
      </w:r>
      <w:r w:rsidR="00F94D3D" w:rsidRPr="00D76DFA">
        <w:t>)</w:t>
      </w:r>
    </w:p>
    <w:p w14:paraId="31C8BC95" w14:textId="77777777" w:rsidR="0012307E" w:rsidRDefault="0012307E" w:rsidP="00F1192F">
      <w:pPr>
        <w:pStyle w:val="BodyText"/>
        <w:numPr>
          <w:ilvl w:val="0"/>
          <w:numId w:val="22"/>
        </w:numPr>
      </w:pPr>
      <w:r>
        <w:lastRenderedPageBreak/>
        <w:t>sampling frequency</w:t>
      </w:r>
      <w:r w:rsidR="00173A2F">
        <w:t>, especially where responses may be rapid or provide early indications of impending severe impacts</w:t>
      </w:r>
    </w:p>
    <w:p w14:paraId="31C8BC96" w14:textId="77777777" w:rsidR="0012307E" w:rsidRPr="0012307E" w:rsidRDefault="0012307E" w:rsidP="00F1192F">
      <w:pPr>
        <w:pStyle w:val="CommentText"/>
        <w:numPr>
          <w:ilvl w:val="0"/>
          <w:numId w:val="22"/>
        </w:numPr>
        <w:rPr>
          <w:sz w:val="22"/>
          <w:szCs w:val="22"/>
        </w:rPr>
      </w:pPr>
      <w:r w:rsidRPr="0012307E">
        <w:rPr>
          <w:sz w:val="22"/>
          <w:szCs w:val="22"/>
        </w:rPr>
        <w:t xml:space="preserve">matching data with the causal pathways in </w:t>
      </w:r>
      <w:r w:rsidR="00173A2F">
        <w:rPr>
          <w:sz w:val="22"/>
          <w:szCs w:val="22"/>
        </w:rPr>
        <w:t>the</w:t>
      </w:r>
      <w:r w:rsidR="00173A2F" w:rsidRPr="0012307E">
        <w:rPr>
          <w:sz w:val="22"/>
          <w:szCs w:val="22"/>
        </w:rPr>
        <w:t xml:space="preserve"> </w:t>
      </w:r>
      <w:r w:rsidRPr="0012307E">
        <w:rPr>
          <w:sz w:val="22"/>
          <w:szCs w:val="22"/>
        </w:rPr>
        <w:t>conceptual model</w:t>
      </w:r>
      <w:r w:rsidR="00173A2F">
        <w:rPr>
          <w:sz w:val="22"/>
          <w:szCs w:val="22"/>
        </w:rPr>
        <w:t>s of the GDEs</w:t>
      </w:r>
      <w:r w:rsidRPr="0012307E">
        <w:rPr>
          <w:sz w:val="22"/>
          <w:szCs w:val="22"/>
        </w:rPr>
        <w:t xml:space="preserve"> </w:t>
      </w:r>
      <w:r>
        <w:rPr>
          <w:sz w:val="22"/>
          <w:szCs w:val="22"/>
        </w:rPr>
        <w:t xml:space="preserve">to </w:t>
      </w:r>
      <w:r w:rsidR="00173A2F">
        <w:rPr>
          <w:sz w:val="22"/>
          <w:szCs w:val="22"/>
        </w:rPr>
        <w:t xml:space="preserve">justify </w:t>
      </w:r>
      <w:r>
        <w:rPr>
          <w:sz w:val="22"/>
          <w:szCs w:val="22"/>
        </w:rPr>
        <w:t>why</w:t>
      </w:r>
      <w:r w:rsidRPr="0012307E">
        <w:rPr>
          <w:sz w:val="22"/>
          <w:szCs w:val="22"/>
        </w:rPr>
        <w:t xml:space="preserve"> particular variables (and their sampling regime) were chosen to detect and monitor impacts to GDEs</w:t>
      </w:r>
    </w:p>
    <w:p w14:paraId="31C8BC97" w14:textId="77777777" w:rsidR="001D08E6" w:rsidRDefault="001D08E6" w:rsidP="001D08E6">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t xml:space="preserve">RECOMMENDATION: Proponents </w:t>
      </w:r>
      <w:r w:rsidR="00173A2F">
        <w:t xml:space="preserve">should </w:t>
      </w:r>
      <w:r>
        <w:t xml:space="preserve">identify </w:t>
      </w:r>
      <w:r w:rsidR="00736E16">
        <w:t xml:space="preserve">a </w:t>
      </w:r>
      <w:r>
        <w:t xml:space="preserve">suitable </w:t>
      </w:r>
      <w:r w:rsidR="00736E16">
        <w:t xml:space="preserve">number of </w:t>
      </w:r>
      <w:r w:rsidR="006D49BF">
        <w:t>reference sites</w:t>
      </w:r>
      <w:r>
        <w:t xml:space="preserve"> outside the project impact area that are representative of GDEs in the project impact area.</w:t>
      </w:r>
      <w:r w:rsidR="005247DC">
        <w:t xml:space="preserve"> The sampl</w:t>
      </w:r>
      <w:r w:rsidR="00173A2F">
        <w:t>ing regime (number of</w:t>
      </w:r>
      <w:r w:rsidR="005247DC">
        <w:t xml:space="preserve"> sites</w:t>
      </w:r>
      <w:r w:rsidR="00173A2F">
        <w:t xml:space="preserve"> and frequency of sampling)</w:t>
      </w:r>
      <w:r w:rsidR="005247DC">
        <w:t xml:space="preserve"> needs to reflect ecological value and condition, level of groundwater dependence and level of risk to the GDE</w:t>
      </w:r>
      <w:r w:rsidR="00B960D7">
        <w:t xml:space="preserve">, </w:t>
      </w:r>
      <w:r w:rsidR="00BB1DD0">
        <w:t>and must be justified in the EIA</w:t>
      </w:r>
      <w:r w:rsidR="005247DC">
        <w:t>.</w:t>
      </w:r>
    </w:p>
    <w:p w14:paraId="31C8BC98" w14:textId="77777777" w:rsidR="00490A72" w:rsidRPr="00490A72" w:rsidRDefault="00F94D3D" w:rsidP="00F3119C">
      <w:pPr>
        <w:pStyle w:val="Heading2"/>
      </w:pPr>
      <w:bookmarkStart w:id="63" w:name="_Toc509996484"/>
      <w:r>
        <w:t xml:space="preserve">Data </w:t>
      </w:r>
      <w:r w:rsidR="00B67B3E">
        <w:t>analysis</w:t>
      </w:r>
      <w:r>
        <w:t xml:space="preserve"> and management</w:t>
      </w:r>
      <w:bookmarkEnd w:id="63"/>
    </w:p>
    <w:p w14:paraId="31C8BC99" w14:textId="77777777" w:rsidR="00490A72" w:rsidRDefault="00BD0CD7" w:rsidP="00490A72">
      <w:pPr>
        <w:pStyle w:val="BodyText"/>
      </w:pPr>
      <w:r>
        <w:rPr>
          <w:noProof/>
        </w:rPr>
        <w:drawing>
          <wp:anchor distT="0" distB="0" distL="114300" distR="114300" simplePos="0" relativeHeight="251905536" behindDoc="0" locked="0" layoutInCell="1" allowOverlap="1" wp14:anchorId="31C8C304" wp14:editId="31C8C305">
            <wp:simplePos x="0" y="0"/>
            <wp:positionH relativeFrom="margin">
              <wp:align>left</wp:align>
            </wp:positionH>
            <wp:positionV relativeFrom="paragraph">
              <wp:posOffset>91696</wp:posOffset>
            </wp:positionV>
            <wp:extent cx="3062605" cy="2029460"/>
            <wp:effectExtent l="0" t="0" r="4445" b="8890"/>
            <wp:wrapThrough wrapText="bothSides">
              <wp:wrapPolygon edited="0">
                <wp:start x="0" y="0"/>
                <wp:lineTo x="0" y="21492"/>
                <wp:lineTo x="21497" y="21492"/>
                <wp:lineTo x="21497" y="0"/>
                <wp:lineTo x="0" y="0"/>
              </wp:wrapPolygon>
            </wp:wrapThrough>
            <wp:docPr id="61447" name="Picture 6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 name="DSC_9644v1.jpg"/>
                    <pic:cNvPicPr/>
                  </pic:nvPicPr>
                  <pic:blipFill>
                    <a:blip r:embed="rId74" cstate="email">
                      <a:extLst>
                        <a:ext uri="{28A0092B-C50C-407E-A947-70E740481C1C}">
                          <a14:useLocalDpi xmlns:a14="http://schemas.microsoft.com/office/drawing/2010/main"/>
                        </a:ext>
                      </a:extLst>
                    </a:blip>
                    <a:stretch>
                      <a:fillRect/>
                    </a:stretch>
                  </pic:blipFill>
                  <pic:spPr>
                    <a:xfrm>
                      <a:off x="0" y="0"/>
                      <a:ext cx="3062605" cy="2029460"/>
                    </a:xfrm>
                    <a:prstGeom prst="rect">
                      <a:avLst/>
                    </a:prstGeom>
                  </pic:spPr>
                </pic:pic>
              </a:graphicData>
            </a:graphic>
            <wp14:sizeRelH relativeFrom="margin">
              <wp14:pctWidth>0</wp14:pctWidth>
            </wp14:sizeRelH>
            <wp14:sizeRelV relativeFrom="margin">
              <wp14:pctHeight>0</wp14:pctHeight>
            </wp14:sizeRelV>
          </wp:anchor>
        </w:drawing>
      </w:r>
      <w:r w:rsidR="00490A72">
        <w:t xml:space="preserve">Spatial and non-spatial analyses </w:t>
      </w:r>
      <w:r w:rsidR="00D76DFA">
        <w:t>are required</w:t>
      </w:r>
      <w:r w:rsidR="00490A72">
        <w:t xml:space="preserve"> to determine the extent and condition of GDEs.</w:t>
      </w:r>
    </w:p>
    <w:p w14:paraId="31C8BC9A" w14:textId="77777777" w:rsidR="00490A72" w:rsidRPr="00D76DFA" w:rsidRDefault="00490A72" w:rsidP="00490A72">
      <w:pPr>
        <w:pStyle w:val="BodyText"/>
      </w:pPr>
      <w:r w:rsidRPr="00490A72">
        <w:t>Data analysis should allow for an indication of an ‘acceptable level of change’</w:t>
      </w:r>
      <w:r>
        <w:t xml:space="preserve"> in a critical variable (e.g. species diversity, pre-</w:t>
      </w:r>
      <w:r w:rsidRPr="00D76DFA">
        <w:t>dawn lea</w:t>
      </w:r>
      <w:r w:rsidR="000B3864" w:rsidRPr="00D76DFA">
        <w:t>f</w:t>
      </w:r>
      <w:r w:rsidRPr="00D76DFA">
        <w:t xml:space="preserve"> water</w:t>
      </w:r>
      <w:r>
        <w:t xml:space="preserve"> potential)</w:t>
      </w:r>
      <w:r w:rsidRPr="00490A72">
        <w:t xml:space="preserve">, </w:t>
      </w:r>
      <w:r w:rsidR="002B1266">
        <w:t>and this can</w:t>
      </w:r>
      <w:r w:rsidRPr="00490A72">
        <w:t xml:space="preserve"> be</w:t>
      </w:r>
      <w:r>
        <w:t xml:space="preserve"> determined using past data. For most GDE types, data on ecological condition will be sparse or non-existen</w:t>
      </w:r>
      <w:r w:rsidR="00BB1DD0">
        <w:t>t prior to the initiation of EIA</w:t>
      </w:r>
      <w:r>
        <w:t xml:space="preserve"> studies, so </w:t>
      </w:r>
      <w:r w:rsidR="00CF0FA7">
        <w:t>an</w:t>
      </w:r>
      <w:r>
        <w:t xml:space="preserve"> understanding of </w:t>
      </w:r>
      <w:r w:rsidR="002B1266">
        <w:t xml:space="preserve">natural </w:t>
      </w:r>
      <w:r>
        <w:t xml:space="preserve">variability will be limited. </w:t>
      </w:r>
      <w:r w:rsidR="00736E16">
        <w:t>M</w:t>
      </w:r>
      <w:r>
        <w:t>anagement plan</w:t>
      </w:r>
      <w:r w:rsidR="00CF0FA7">
        <w:t>s</w:t>
      </w:r>
      <w:r w:rsidR="00BB1DD0">
        <w:t xml:space="preserve"> developed during the EIA</w:t>
      </w:r>
      <w:r>
        <w:t xml:space="preserve"> phase</w:t>
      </w:r>
      <w:r w:rsidR="00CF0FA7">
        <w:t xml:space="preserve"> need</w:t>
      </w:r>
      <w:r>
        <w:t xml:space="preserve"> to acknowledge this and set realistic monitoring goals </w:t>
      </w:r>
      <w:r w:rsidRPr="00D76DFA">
        <w:t xml:space="preserve">that are adaptable to new data. Impacts to GDEs may not be immediate, </w:t>
      </w:r>
      <w:r w:rsidR="00CF0FA7">
        <w:t>requiri</w:t>
      </w:r>
      <w:r w:rsidRPr="00D76DFA">
        <w:t>ng an additional period for data collect</w:t>
      </w:r>
      <w:r w:rsidR="004B1450">
        <w:t>ion if the project is approved</w:t>
      </w:r>
      <w:r w:rsidR="002B1266">
        <w:t>. S</w:t>
      </w:r>
      <w:r w:rsidR="004B1450">
        <w:t xml:space="preserve">ome estimate of these </w:t>
      </w:r>
      <w:r w:rsidR="002B1266">
        <w:t xml:space="preserve">time </w:t>
      </w:r>
      <w:r w:rsidR="004B1450">
        <w:t xml:space="preserve">lags should be </w:t>
      </w:r>
      <w:r w:rsidR="002B1266">
        <w:t>made, and could be guided by c</w:t>
      </w:r>
      <w:r w:rsidR="004B1450">
        <w:t>onceptual mod</w:t>
      </w:r>
      <w:r w:rsidR="00AE5846">
        <w:t xml:space="preserve">els </w:t>
      </w:r>
      <w:r w:rsidR="002B1266">
        <w:t>of causal impacts and groundwater dependence</w:t>
      </w:r>
      <w:r w:rsidR="00AE5846">
        <w:t xml:space="preserve"> (</w:t>
      </w:r>
      <w:r w:rsidR="00301D7B" w:rsidRPr="00301D7B">
        <w:t>Section 5.3.1</w:t>
      </w:r>
      <w:r w:rsidR="00AE5846">
        <w:t>)</w:t>
      </w:r>
    </w:p>
    <w:p w14:paraId="31C8BC9B" w14:textId="77777777" w:rsidR="00A573FF" w:rsidRPr="00D76DFA" w:rsidRDefault="00745262" w:rsidP="00490A72">
      <w:pPr>
        <w:pStyle w:val="BodyText"/>
      </w:pPr>
      <w:r>
        <w:t>A</w:t>
      </w:r>
      <w:r w:rsidR="00490A72" w:rsidRPr="00D76DFA">
        <w:t xml:space="preserve">n ‘acceptable level of change’ </w:t>
      </w:r>
      <w:r>
        <w:t>can</w:t>
      </w:r>
      <w:r w:rsidR="00CF0FA7">
        <w:t xml:space="preserve"> be determined through either</w:t>
      </w:r>
      <w:r w:rsidR="00490A72" w:rsidRPr="00D76DFA">
        <w:t xml:space="preserve"> comparisons between impact and </w:t>
      </w:r>
      <w:r w:rsidR="004575C3">
        <w:t xml:space="preserve">reference </w:t>
      </w:r>
      <w:r w:rsidR="00490A72" w:rsidRPr="00D76DFA">
        <w:t xml:space="preserve">sites or comparisons </w:t>
      </w:r>
      <w:r>
        <w:t>with</w:t>
      </w:r>
      <w:r w:rsidRPr="00D76DFA">
        <w:t xml:space="preserve"> </w:t>
      </w:r>
      <w:r w:rsidR="00490A72" w:rsidRPr="00D76DFA">
        <w:t xml:space="preserve">patterns published in the scientific literature or </w:t>
      </w:r>
      <w:r>
        <w:t xml:space="preserve">reports of </w:t>
      </w:r>
      <w:r w:rsidR="00490A72" w:rsidRPr="00D76DFA">
        <w:t xml:space="preserve">similar projects. </w:t>
      </w:r>
    </w:p>
    <w:p w14:paraId="31C8BC9C" w14:textId="77777777" w:rsidR="00F94D3D" w:rsidRPr="00D76DFA" w:rsidRDefault="00F94D3D" w:rsidP="00490A72">
      <w:pPr>
        <w:pStyle w:val="BodyText"/>
      </w:pPr>
      <w:r w:rsidRPr="00D76DFA">
        <w:t>Ideally, all data collecte</w:t>
      </w:r>
      <w:r w:rsidR="00BB1DD0">
        <w:t>d during GDE assessments for EIA</w:t>
      </w:r>
      <w:r w:rsidRPr="00D76DFA">
        <w:t xml:space="preserve"> projects should be stored in a central repository, such as the GDE Atlas, so </w:t>
      </w:r>
      <w:r w:rsidR="000B3864" w:rsidRPr="00D76DFA">
        <w:t xml:space="preserve">it </w:t>
      </w:r>
      <w:r w:rsidRPr="00D76DFA">
        <w:t>is available for use by other proponents or researchers wishing to increase our understanding of the interactions between GDEs and aquifers. There are several state</w:t>
      </w:r>
      <w:r w:rsidR="00745262">
        <w:t>-</w:t>
      </w:r>
      <w:r w:rsidRPr="00D76DFA">
        <w:t>based databases where GDE</w:t>
      </w:r>
      <w:r w:rsidR="001C274C">
        <w:t xml:space="preserve"> </w:t>
      </w:r>
      <w:r w:rsidRPr="00D76DFA">
        <w:t>datasets are stored (e.g. Wetland Info and the Subterranean Aquatic Fauna Database in Queensland</w:t>
      </w:r>
      <w:r w:rsidR="00AE5846">
        <w:t>)</w:t>
      </w:r>
      <w:r w:rsidRPr="00D76DFA">
        <w:t>.</w:t>
      </w:r>
    </w:p>
    <w:p w14:paraId="31C8BC9D" w14:textId="77777777" w:rsidR="00F94D3D" w:rsidRDefault="001C274C" w:rsidP="00490A72">
      <w:pPr>
        <w:pStyle w:val="BodyText"/>
      </w:pPr>
      <w:r>
        <w:t>P</w:t>
      </w:r>
      <w:r w:rsidR="00F94D3D" w:rsidRPr="00D76DFA">
        <w:t xml:space="preserve">roponents </w:t>
      </w:r>
      <w:r>
        <w:t xml:space="preserve">must </w:t>
      </w:r>
      <w:r w:rsidR="00F94D3D" w:rsidRPr="00D76DFA">
        <w:t>take responsibility for managing and storing the data collected. Throughout</w:t>
      </w:r>
      <w:r w:rsidR="00F94D3D">
        <w:t xml:space="preserve"> the life of a project, the consul</w:t>
      </w:r>
      <w:r w:rsidR="00BB1DD0">
        <w:t>tant collecting data for the EIA</w:t>
      </w:r>
      <w:r w:rsidR="00F94D3D">
        <w:t xml:space="preserve"> may differ </w:t>
      </w:r>
      <w:r w:rsidR="004B1450">
        <w:t>from</w:t>
      </w:r>
      <w:r w:rsidR="00F94D3D">
        <w:t xml:space="preserve"> the consultant conducting the monitoring during the operational phase</w:t>
      </w:r>
      <w:r w:rsidR="00745262">
        <w:t>. Therefore</w:t>
      </w:r>
      <w:r>
        <w:t>, data management and storage should sit with the project proponents</w:t>
      </w:r>
      <w:r w:rsidR="00F94D3D">
        <w:t xml:space="preserve">. Unless the proponent requests raw data from the consultant and stores it appropriately, data will be lost and the only information available </w:t>
      </w:r>
      <w:r w:rsidR="004B1450">
        <w:t>will be</w:t>
      </w:r>
      <w:r w:rsidR="00F94D3D">
        <w:t xml:space="preserve"> that presented in reports. Without access to pre-impact data, it can be difficult to detect whether GDE</w:t>
      </w:r>
      <w:r>
        <w:t xml:space="preserve"> changes have </w:t>
      </w:r>
      <w:r w:rsidR="008F5A6B">
        <w:t>occurred</w:t>
      </w:r>
      <w:r w:rsidR="00F94D3D">
        <w:t xml:space="preserve">.  </w:t>
      </w:r>
    </w:p>
    <w:p w14:paraId="31C8BC9E" w14:textId="77777777" w:rsidR="00471E8C" w:rsidRDefault="00471E8C" w:rsidP="00490A72">
      <w:pPr>
        <w:pStyle w:val="BodyText"/>
      </w:pPr>
    </w:p>
    <w:p w14:paraId="31C8BC9F" w14:textId="77777777" w:rsidR="00D925BC" w:rsidRPr="00133008" w:rsidRDefault="001F26CB" w:rsidP="00133008">
      <w:pPr>
        <w:pStyle w:val="BodyText"/>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C2F3FF" w:themeFill="accent1" w:themeFillTint="33"/>
        <w:rPr>
          <w:shd w:val="clear" w:color="auto" w:fill="C2F3FF" w:themeFill="accent1" w:themeFillTint="33"/>
        </w:rPr>
      </w:pPr>
      <w:r w:rsidRPr="00597496">
        <w:rPr>
          <w:b/>
        </w:rPr>
        <w:t>OUTCOME</w:t>
      </w:r>
      <w:r>
        <w:t xml:space="preserve">: </w:t>
      </w:r>
      <w:r w:rsidR="00471E8C">
        <w:t>The p</w:t>
      </w:r>
      <w:r w:rsidR="00471E8C" w:rsidRPr="00217AA4">
        <w:t xml:space="preserve">roponent will have </w:t>
      </w:r>
      <w:r w:rsidR="00471E8C">
        <w:t>assessed</w:t>
      </w:r>
      <w:r w:rsidR="00471E8C" w:rsidRPr="00217AA4">
        <w:t xml:space="preserve"> baseline condition</w:t>
      </w:r>
      <w:r w:rsidR="00471E8C">
        <w:t xml:space="preserve"> of GDEs</w:t>
      </w:r>
      <w:r w:rsidR="00471E8C" w:rsidRPr="00217AA4">
        <w:t xml:space="preserve"> within and outside the project impact area</w:t>
      </w:r>
      <w:r w:rsidR="00471E8C">
        <w:t>, recognising</w:t>
      </w:r>
      <w:r w:rsidR="00471E8C" w:rsidRPr="00217AA4">
        <w:t xml:space="preserve"> the need to incorporate </w:t>
      </w:r>
      <w:r w:rsidR="00471E8C">
        <w:t xml:space="preserve">appropriate </w:t>
      </w:r>
      <w:r w:rsidR="00471E8C" w:rsidRPr="00217AA4">
        <w:t xml:space="preserve">field survey and monitoring </w:t>
      </w:r>
      <w:r w:rsidR="00471E8C">
        <w:t>methods that consider</w:t>
      </w:r>
      <w:r w:rsidR="00471E8C" w:rsidRPr="00217AA4">
        <w:t xml:space="preserve"> factors such as site selection, level of survey detail required, sampling methods, determination of ecological value and condition, level of groundwater dependence, </w:t>
      </w:r>
      <w:r w:rsidR="00471E8C">
        <w:t xml:space="preserve">suitable </w:t>
      </w:r>
      <w:r w:rsidR="00471E8C" w:rsidRPr="00217AA4">
        <w:t xml:space="preserve">data analysis and </w:t>
      </w:r>
      <w:r w:rsidR="00471E8C">
        <w:t xml:space="preserve">well-justified </w:t>
      </w:r>
      <w:r w:rsidR="00471E8C" w:rsidRPr="00217AA4">
        <w:t>management</w:t>
      </w:r>
      <w:r w:rsidR="00471E8C">
        <w:t xml:space="preserve"> options</w:t>
      </w:r>
      <w:r w:rsidR="00471E8C" w:rsidRPr="00217AA4">
        <w:t>. The collected information will provide an understanding of the natural variability in each GDE and inform decisions to determine an ‘</w:t>
      </w:r>
      <w:r w:rsidR="00471E8C">
        <w:t>acceptable level of change’</w:t>
      </w:r>
      <w:r w:rsidR="00471E8C" w:rsidRPr="00217AA4">
        <w:t xml:space="preserve"> with consideration of the ecological value of e</w:t>
      </w:r>
      <w:r w:rsidR="00471E8C">
        <w:t>ach</w:t>
      </w:r>
      <w:r w:rsidR="00471E8C" w:rsidRPr="00217AA4">
        <w:t xml:space="preserve"> GDE.</w:t>
      </w:r>
      <w:r w:rsidR="00471E8C" w:rsidRPr="004B1450">
        <w:t xml:space="preserve"> </w:t>
      </w:r>
      <w:r w:rsidR="00471E8C">
        <w:t xml:space="preserve">Monitoring programs should state the goals of monitoring, what is to be measured, where and how often, how each variable relates to potential impacts and GDE responses, and how the data will be stored, analysed and </w:t>
      </w:r>
      <w:r w:rsidR="004B1450">
        <w:t>presented.</w:t>
      </w:r>
      <w:r w:rsidR="00D925BC">
        <w:br w:type="page"/>
      </w:r>
    </w:p>
    <w:p w14:paraId="31C8BCA0" w14:textId="77777777" w:rsidR="007A727E" w:rsidRDefault="007A727E" w:rsidP="00F3119C">
      <w:pPr>
        <w:pStyle w:val="Heading1"/>
        <w:pageBreakBefore w:val="0"/>
        <w:spacing w:before="480" w:after="360" w:line="240" w:lineRule="auto"/>
      </w:pPr>
      <w:bookmarkStart w:id="64" w:name="_Toc509996485"/>
      <w:bookmarkStart w:id="65" w:name="_Toc504056325"/>
      <w:r>
        <w:lastRenderedPageBreak/>
        <w:t xml:space="preserve">Assessing </w:t>
      </w:r>
      <w:r w:rsidR="00F60C35">
        <w:t xml:space="preserve">risks of </w:t>
      </w:r>
      <w:r>
        <w:t>project</w:t>
      </w:r>
      <w:r w:rsidR="00F60C35">
        <w:t>-</w:t>
      </w:r>
      <w:r>
        <w:t>specific impacts to GDEs</w:t>
      </w:r>
      <w:bookmarkEnd w:id="64"/>
    </w:p>
    <w:p w14:paraId="31C8BCA1" w14:textId="77777777" w:rsidR="008F5A6B" w:rsidRDefault="001A0005" w:rsidP="008F5A6B">
      <w:pPr>
        <w:pStyle w:val="BodyText"/>
      </w:pPr>
      <w:r>
        <w:t xml:space="preserve">Once baseline assessment has been undertaken for each GDE and its ecological value has been established, </w:t>
      </w:r>
      <w:r w:rsidR="00E53462">
        <w:t>there must be an</w:t>
      </w:r>
      <w:r>
        <w:t xml:space="preserve"> assessment of </w:t>
      </w:r>
      <w:r w:rsidR="00E53462">
        <w:t xml:space="preserve">potential </w:t>
      </w:r>
      <w:r>
        <w:t xml:space="preserve">project impacts to develop a risk assessment protocol which considers the magnitude, frequency and duration of </w:t>
      </w:r>
      <w:r w:rsidR="00E53462">
        <w:t xml:space="preserve">each </w:t>
      </w:r>
      <w:r>
        <w:t xml:space="preserve">impact (see arrow 5 in </w:t>
      </w:r>
      <w:r>
        <w:fldChar w:fldCharType="begin"/>
      </w:r>
      <w:r>
        <w:instrText xml:space="preserve"> REF _Ref507091362 \h </w:instrText>
      </w:r>
      <w:r>
        <w:fldChar w:fldCharType="separate"/>
      </w:r>
      <w:r w:rsidR="00E96B43" w:rsidRPr="00000D10">
        <w:rPr>
          <w:color w:val="000000" w:themeColor="text1"/>
        </w:rPr>
        <w:t xml:space="preserve">Figure </w:t>
      </w:r>
      <w:r w:rsidR="00E96B43">
        <w:rPr>
          <w:noProof/>
          <w:color w:val="000000" w:themeColor="text1"/>
        </w:rPr>
        <w:t>5</w:t>
      </w:r>
      <w:r>
        <w:fldChar w:fldCharType="end"/>
      </w:r>
      <w:r>
        <w:t>).</w:t>
      </w:r>
    </w:p>
    <w:p w14:paraId="31C8BCA2" w14:textId="77777777" w:rsidR="008F5A6B" w:rsidRPr="00D76DFA" w:rsidRDefault="008F5A6B" w:rsidP="00F3119C">
      <w:pPr>
        <w:pStyle w:val="Heading2"/>
      </w:pPr>
      <w:bookmarkStart w:id="66" w:name="_Ref507678934"/>
      <w:bookmarkStart w:id="67" w:name="_Ref507681965"/>
      <w:bookmarkStart w:id="68" w:name="_Toc509996486"/>
      <w:bookmarkEnd w:id="65"/>
      <w:r w:rsidRPr="00D76DFA">
        <w:t>Assessment of impacts</w:t>
      </w:r>
      <w:bookmarkEnd w:id="66"/>
      <w:bookmarkEnd w:id="67"/>
      <w:bookmarkEnd w:id="68"/>
    </w:p>
    <w:p w14:paraId="31C8BCA3" w14:textId="77777777" w:rsidR="008F5A6B" w:rsidRPr="008451D3" w:rsidRDefault="008F5A6B" w:rsidP="008F5A6B">
      <w:pPr>
        <w:pStyle w:val="BodyText"/>
      </w:pPr>
      <w:r w:rsidRPr="008451D3">
        <w:t>State</w:t>
      </w:r>
      <w:r w:rsidR="00F60C35">
        <w:t>-</w:t>
      </w:r>
      <w:r w:rsidRPr="008451D3">
        <w:t>based guidelines for assessing impacts to GDEs</w:t>
      </w:r>
      <w:r w:rsidR="00F437AF">
        <w:t xml:space="preserve"> </w:t>
      </w:r>
      <w:r w:rsidRPr="008451D3">
        <w:t>exist in New South Wales (Serov et al</w:t>
      </w:r>
      <w:r>
        <w:t>.,</w:t>
      </w:r>
      <w:r w:rsidRPr="008451D3">
        <w:t xml:space="preserve"> 2012) and Queensland (Department of Environment and Heritage Protection 2016). Both of these provide instructions to proponents on how to identify GDEs in the project </w:t>
      </w:r>
      <w:r w:rsidR="00C976F1">
        <w:t xml:space="preserve">impact </w:t>
      </w:r>
      <w:r w:rsidRPr="008451D3">
        <w:t xml:space="preserve">area and </w:t>
      </w:r>
      <w:r w:rsidR="00C976F1">
        <w:t xml:space="preserve">how to </w:t>
      </w:r>
      <w:r w:rsidRPr="008451D3">
        <w:t xml:space="preserve">determine which activities are likely to result in impacts. </w:t>
      </w:r>
    </w:p>
    <w:p w14:paraId="31C8BCA4" w14:textId="77777777" w:rsidR="008F5A6B" w:rsidRPr="00E63C1C" w:rsidRDefault="008F5A6B" w:rsidP="008F5A6B">
      <w:pPr>
        <w:pStyle w:val="BodyText"/>
      </w:pPr>
      <w:r w:rsidRPr="008451D3">
        <w:t>In New South Wales, the steps involved in the assessment process</w:t>
      </w:r>
      <w:r w:rsidR="00C976F1">
        <w:t xml:space="preserve"> (</w:t>
      </w:r>
      <w:r w:rsidRPr="008451D3">
        <w:t xml:space="preserve">once GDEs in an impact area have been </w:t>
      </w:r>
      <w:r w:rsidRPr="00E63C1C">
        <w:t>identified and their ecological significance and condition are determined</w:t>
      </w:r>
      <w:r w:rsidR="00C976F1">
        <w:t>)</w:t>
      </w:r>
      <w:r w:rsidRPr="00E63C1C">
        <w:t xml:space="preserve"> are:</w:t>
      </w:r>
    </w:p>
    <w:p w14:paraId="31C8BCA5" w14:textId="77777777" w:rsidR="008F5A6B" w:rsidRPr="00E63C1C" w:rsidRDefault="000A72A9" w:rsidP="00F1192F">
      <w:pPr>
        <w:pStyle w:val="BodyText"/>
        <w:numPr>
          <w:ilvl w:val="0"/>
          <w:numId w:val="20"/>
        </w:numPr>
      </w:pPr>
      <w:r>
        <w:t>d</w:t>
      </w:r>
      <w:r w:rsidR="008F5A6B" w:rsidRPr="00E63C1C">
        <w:t xml:space="preserve">etermine the impact of the activity on </w:t>
      </w:r>
      <w:r w:rsidR="00734053">
        <w:t xml:space="preserve">all </w:t>
      </w:r>
      <w:r>
        <w:t>GDEs</w:t>
      </w:r>
      <w:r w:rsidR="00C976F1">
        <w:t>,</w:t>
      </w:r>
      <w:r>
        <w:t xml:space="preserve"> including the</w:t>
      </w:r>
      <w:r w:rsidR="008F5A6B" w:rsidRPr="00E63C1C">
        <w:t xml:space="preserve"> aquifer community</w:t>
      </w:r>
    </w:p>
    <w:p w14:paraId="31C8BCA6" w14:textId="77777777" w:rsidR="008F5A6B" w:rsidRPr="00E63C1C" w:rsidRDefault="002C4EF4" w:rsidP="00F1192F">
      <w:pPr>
        <w:pStyle w:val="BodyText"/>
        <w:numPr>
          <w:ilvl w:val="0"/>
          <w:numId w:val="20"/>
        </w:numPr>
      </w:pPr>
      <w:r>
        <w:t>d</w:t>
      </w:r>
      <w:r w:rsidR="008F5A6B" w:rsidRPr="00E63C1C">
        <w:t xml:space="preserve">etermine </w:t>
      </w:r>
      <w:r w:rsidR="00A1504B" w:rsidRPr="00E63C1C">
        <w:t xml:space="preserve">magnitude </w:t>
      </w:r>
      <w:r w:rsidR="00A1504B">
        <w:t xml:space="preserve">of </w:t>
      </w:r>
      <w:r w:rsidR="008F5A6B" w:rsidRPr="00E63C1C">
        <w:t xml:space="preserve">risk to </w:t>
      </w:r>
      <w:r w:rsidR="000A72A9">
        <w:t>all GDEs</w:t>
      </w:r>
    </w:p>
    <w:p w14:paraId="31C8BCA7" w14:textId="77777777" w:rsidR="008F5A6B" w:rsidRPr="00E63C1C" w:rsidRDefault="002C4EF4" w:rsidP="00F1192F">
      <w:pPr>
        <w:pStyle w:val="BodyText"/>
        <w:numPr>
          <w:ilvl w:val="0"/>
          <w:numId w:val="20"/>
        </w:numPr>
      </w:pPr>
      <w:r>
        <w:t>a</w:t>
      </w:r>
      <w:r w:rsidR="008F5A6B" w:rsidRPr="00E63C1C">
        <w:t xml:space="preserve">pply </w:t>
      </w:r>
      <w:r>
        <w:t>a</w:t>
      </w:r>
      <w:r w:rsidR="008F5A6B" w:rsidRPr="00E63C1C">
        <w:t xml:space="preserve"> GDE Risk Matrix</w:t>
      </w:r>
      <w:r w:rsidR="000A72A9">
        <w:t xml:space="preserve"> (</w:t>
      </w:r>
      <w:r w:rsidR="0053475E">
        <w:fldChar w:fldCharType="begin"/>
      </w:r>
      <w:r w:rsidR="0053475E">
        <w:instrText xml:space="preserve"> REF _Ref509778364 \h </w:instrText>
      </w:r>
      <w:r w:rsidR="0053475E">
        <w:fldChar w:fldCharType="separate"/>
      </w:r>
      <w:r w:rsidR="00E96B43">
        <w:t xml:space="preserve">App Table </w:t>
      </w:r>
      <w:r w:rsidR="00E96B43">
        <w:rPr>
          <w:noProof/>
        </w:rPr>
        <w:t>10</w:t>
      </w:r>
      <w:r w:rsidR="0053475E">
        <w:fldChar w:fldCharType="end"/>
      </w:r>
      <w:r w:rsidR="000A72A9">
        <w:t>, Serov et al., 2012)</w:t>
      </w:r>
    </w:p>
    <w:p w14:paraId="31C8BCA8" w14:textId="77777777" w:rsidR="008F5A6B" w:rsidRPr="00E63C1C" w:rsidRDefault="002C4EF4" w:rsidP="00F1192F">
      <w:pPr>
        <w:pStyle w:val="BodyText"/>
        <w:numPr>
          <w:ilvl w:val="0"/>
          <w:numId w:val="20"/>
        </w:numPr>
      </w:pPr>
      <w:r>
        <w:t>d</w:t>
      </w:r>
      <w:r w:rsidR="008F5A6B" w:rsidRPr="00E63C1C">
        <w:t>evelop a management plan consistent with the outcomes of the risk category determined in the Risk Matrix</w:t>
      </w:r>
    </w:p>
    <w:p w14:paraId="31C8BCA9" w14:textId="77777777" w:rsidR="008F5A6B" w:rsidRPr="00AF5FF5" w:rsidRDefault="008F5A6B" w:rsidP="008F5A6B">
      <w:pPr>
        <w:pStyle w:val="BodyText"/>
      </w:pPr>
      <w:r>
        <w:rPr>
          <w:noProof/>
        </w:rPr>
        <w:drawing>
          <wp:anchor distT="0" distB="0" distL="114300" distR="114300" simplePos="0" relativeHeight="251883008" behindDoc="1" locked="0" layoutInCell="1" allowOverlap="1" wp14:anchorId="31C8C306" wp14:editId="31C8C307">
            <wp:simplePos x="0" y="0"/>
            <wp:positionH relativeFrom="column">
              <wp:posOffset>3810</wp:posOffset>
            </wp:positionH>
            <wp:positionV relativeFrom="paragraph">
              <wp:posOffset>52705</wp:posOffset>
            </wp:positionV>
            <wp:extent cx="1620000" cy="2160000"/>
            <wp:effectExtent l="0" t="0" r="0" b="0"/>
            <wp:wrapTight wrapText="bothSides">
              <wp:wrapPolygon edited="0">
                <wp:start x="0" y="0"/>
                <wp:lineTo x="0" y="21340"/>
                <wp:lineTo x="21338" y="21340"/>
                <wp:lineTo x="21338" y="0"/>
                <wp:lineTo x="0" y="0"/>
              </wp:wrapPolygon>
            </wp:wrapTight>
            <wp:docPr id="60" name="Picture 60" descr="N:\Projects\17ARM\8960 GDE paper for IESC on CSG and large Coal mining\pics\GW fed 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jects\17ARM\8960 GDE paper for IESC on CSG and large Coal mining\pics\GW fed creek.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C1C">
        <w:t>The GDE Risk Matrix</w:t>
      </w:r>
      <w:r w:rsidR="00301D7B">
        <w:t xml:space="preserve"> (</w:t>
      </w:r>
      <w:r w:rsidR="00301D7B">
        <w:fldChar w:fldCharType="begin"/>
      </w:r>
      <w:r w:rsidR="00301D7B">
        <w:instrText xml:space="preserve"> REF _Ref509778364 \h </w:instrText>
      </w:r>
      <w:r w:rsidR="00301D7B">
        <w:fldChar w:fldCharType="separate"/>
      </w:r>
      <w:r w:rsidR="00E96B43">
        <w:t xml:space="preserve">App Table </w:t>
      </w:r>
      <w:r w:rsidR="00E96B43">
        <w:rPr>
          <w:noProof/>
        </w:rPr>
        <w:t>10</w:t>
      </w:r>
      <w:r w:rsidR="00301D7B">
        <w:fldChar w:fldCharType="end"/>
      </w:r>
      <w:r w:rsidR="00301D7B">
        <w:t>)</w:t>
      </w:r>
      <w:r w:rsidRPr="00E63C1C">
        <w:t xml:space="preserve"> outlines appropriate management responses for an environmental value under a particular activity. The</w:t>
      </w:r>
      <w:r w:rsidRPr="00E63C1C">
        <w:rPr>
          <w:spacing w:val="-2"/>
        </w:rPr>
        <w:t xml:space="preserve"> </w:t>
      </w:r>
      <w:r w:rsidRPr="00E63C1C">
        <w:t>matrix</w:t>
      </w:r>
      <w:r w:rsidRPr="00E63C1C">
        <w:rPr>
          <w:spacing w:val="-3"/>
        </w:rPr>
        <w:t xml:space="preserve"> </w:t>
      </w:r>
      <w:r w:rsidRPr="00E63C1C">
        <w:t xml:space="preserve">consists of a vertical axis that </w:t>
      </w:r>
      <w:r w:rsidR="00C976F1">
        <w:t>represent</w:t>
      </w:r>
      <w:r w:rsidR="00C976F1" w:rsidRPr="00E63C1C">
        <w:t>s</w:t>
      </w:r>
      <w:r w:rsidR="00C976F1" w:rsidRPr="00E63C1C">
        <w:rPr>
          <w:spacing w:val="-2"/>
        </w:rPr>
        <w:t xml:space="preserve"> </w:t>
      </w:r>
      <w:r w:rsidRPr="00E63C1C">
        <w:t>ecological value and</w:t>
      </w:r>
      <w:r w:rsidRPr="00E63C1C">
        <w:rPr>
          <w:spacing w:val="-3"/>
        </w:rPr>
        <w:t xml:space="preserve"> a</w:t>
      </w:r>
      <w:r w:rsidRPr="00E63C1C">
        <w:t xml:space="preserve"> horizontal</w:t>
      </w:r>
      <w:r w:rsidRPr="00E63C1C">
        <w:rPr>
          <w:spacing w:val="45"/>
        </w:rPr>
        <w:t xml:space="preserve"> </w:t>
      </w:r>
      <w:r w:rsidRPr="00E63C1C">
        <w:t>axis that</w:t>
      </w:r>
      <w:r w:rsidRPr="00E63C1C">
        <w:rPr>
          <w:spacing w:val="-2"/>
        </w:rPr>
        <w:t xml:space="preserve"> </w:t>
      </w:r>
      <w:r w:rsidR="00C976F1">
        <w:t>represen</w:t>
      </w:r>
      <w:r w:rsidR="00C976F1" w:rsidRPr="00E63C1C">
        <w:t>ts</w:t>
      </w:r>
      <w:r w:rsidR="00C976F1" w:rsidRPr="00E63C1C">
        <w:rPr>
          <w:spacing w:val="-2"/>
        </w:rPr>
        <w:t xml:space="preserve"> </w:t>
      </w:r>
      <w:r w:rsidRPr="00E63C1C">
        <w:t>the</w:t>
      </w:r>
      <w:r w:rsidRPr="00E63C1C">
        <w:rPr>
          <w:spacing w:val="-2"/>
        </w:rPr>
        <w:t xml:space="preserve"> </w:t>
      </w:r>
      <w:r w:rsidRPr="00E63C1C">
        <w:t xml:space="preserve">level </w:t>
      </w:r>
      <w:r w:rsidRPr="00E63C1C">
        <w:rPr>
          <w:spacing w:val="-2"/>
        </w:rPr>
        <w:t>of</w:t>
      </w:r>
      <w:r w:rsidRPr="00E63C1C">
        <w:t xml:space="preserve"> risk</w:t>
      </w:r>
      <w:r w:rsidRPr="00E63C1C">
        <w:rPr>
          <w:spacing w:val="-2"/>
        </w:rPr>
        <w:t xml:space="preserve"> of</w:t>
      </w:r>
      <w:r w:rsidRPr="00E63C1C">
        <w:t xml:space="preserve"> an activity.</w:t>
      </w:r>
      <w:r w:rsidR="002C4EF4">
        <w:rPr>
          <w:spacing w:val="57"/>
        </w:rPr>
        <w:t xml:space="preserve"> </w:t>
      </w:r>
      <w:r w:rsidRPr="00E63C1C">
        <w:t>The</w:t>
      </w:r>
      <w:r w:rsidRPr="00E63C1C">
        <w:rPr>
          <w:spacing w:val="-2"/>
        </w:rPr>
        <w:t xml:space="preserve"> </w:t>
      </w:r>
      <w:r w:rsidRPr="00E63C1C">
        <w:t>ranking</w:t>
      </w:r>
      <w:r w:rsidRPr="00E63C1C">
        <w:rPr>
          <w:spacing w:val="-3"/>
        </w:rPr>
        <w:t xml:space="preserve"> </w:t>
      </w:r>
      <w:r w:rsidRPr="00E63C1C">
        <w:t>of both</w:t>
      </w:r>
      <w:r w:rsidRPr="00E63C1C">
        <w:rPr>
          <w:spacing w:val="-3"/>
        </w:rPr>
        <w:t xml:space="preserve"> </w:t>
      </w:r>
      <w:r w:rsidRPr="00E63C1C">
        <w:t>ecological values and</w:t>
      </w:r>
      <w:r w:rsidRPr="00E63C1C">
        <w:rPr>
          <w:spacing w:val="-3"/>
        </w:rPr>
        <w:t xml:space="preserve"> </w:t>
      </w:r>
      <w:r w:rsidRPr="00E63C1C">
        <w:t>risk</w:t>
      </w:r>
      <w:r w:rsidRPr="00E63C1C">
        <w:rPr>
          <w:spacing w:val="-2"/>
        </w:rPr>
        <w:t xml:space="preserve"> </w:t>
      </w:r>
      <w:r w:rsidRPr="00E63C1C">
        <w:t>is assigned as being High, Moderate</w:t>
      </w:r>
      <w:r w:rsidRPr="00E63C1C">
        <w:rPr>
          <w:spacing w:val="-4"/>
        </w:rPr>
        <w:t xml:space="preserve"> or </w:t>
      </w:r>
      <w:r w:rsidRPr="00E63C1C">
        <w:t>Low (</w:t>
      </w:r>
      <w:r w:rsidR="0053475E">
        <w:fldChar w:fldCharType="begin"/>
      </w:r>
      <w:r w:rsidR="0053475E">
        <w:instrText xml:space="preserve"> REF _Ref509778364 \h </w:instrText>
      </w:r>
      <w:r w:rsidR="0053475E">
        <w:fldChar w:fldCharType="separate"/>
      </w:r>
      <w:r w:rsidR="00E96B43">
        <w:t xml:space="preserve">App Table </w:t>
      </w:r>
      <w:r w:rsidR="00E96B43">
        <w:rPr>
          <w:noProof/>
        </w:rPr>
        <w:t>10</w:t>
      </w:r>
      <w:r w:rsidR="0053475E">
        <w:fldChar w:fldCharType="end"/>
      </w:r>
      <w:r w:rsidRPr="00AF5FF5">
        <w:t>).</w:t>
      </w:r>
      <w:r w:rsidRPr="00AF5FF5">
        <w:rPr>
          <w:spacing w:val="-3"/>
        </w:rPr>
        <w:t xml:space="preserve"> </w:t>
      </w:r>
    </w:p>
    <w:p w14:paraId="31C8BCAA" w14:textId="77777777" w:rsidR="008F5A6B" w:rsidRDefault="008F5A6B" w:rsidP="008F5A6B">
      <w:pPr>
        <w:pStyle w:val="BodyText"/>
      </w:pPr>
      <w:r w:rsidRPr="00AF5FF5">
        <w:t>The</w:t>
      </w:r>
      <w:r w:rsidRPr="00AF5FF5">
        <w:rPr>
          <w:spacing w:val="-2"/>
        </w:rPr>
        <w:t xml:space="preserve"> </w:t>
      </w:r>
      <w:r w:rsidRPr="00AF5FF5">
        <w:t>Risk</w:t>
      </w:r>
      <w:r w:rsidRPr="00AF5FF5">
        <w:rPr>
          <w:spacing w:val="-2"/>
        </w:rPr>
        <w:t xml:space="preserve"> </w:t>
      </w:r>
      <w:r w:rsidRPr="00AF5FF5">
        <w:t>Matrix</w:t>
      </w:r>
      <w:r w:rsidRPr="00AF5FF5">
        <w:rPr>
          <w:spacing w:val="-3"/>
        </w:rPr>
        <w:t xml:space="preserve"> management action table (</w:t>
      </w:r>
      <w:r w:rsidR="0053475E">
        <w:rPr>
          <w:spacing w:val="-3"/>
        </w:rPr>
        <w:fldChar w:fldCharType="begin"/>
      </w:r>
      <w:r w:rsidR="0053475E">
        <w:rPr>
          <w:spacing w:val="-3"/>
        </w:rPr>
        <w:instrText xml:space="preserve"> REF _Ref509778387 \h </w:instrText>
      </w:r>
      <w:r w:rsidR="0053475E">
        <w:rPr>
          <w:spacing w:val="-3"/>
        </w:rPr>
      </w:r>
      <w:r w:rsidR="0053475E">
        <w:rPr>
          <w:spacing w:val="-3"/>
        </w:rPr>
        <w:fldChar w:fldCharType="separate"/>
      </w:r>
      <w:r w:rsidR="00E96B43">
        <w:t xml:space="preserve">App Table </w:t>
      </w:r>
      <w:r w:rsidR="00E96B43">
        <w:rPr>
          <w:noProof/>
        </w:rPr>
        <w:t>11</w:t>
      </w:r>
      <w:r w:rsidR="0053475E">
        <w:rPr>
          <w:spacing w:val="-3"/>
        </w:rPr>
        <w:fldChar w:fldCharType="end"/>
      </w:r>
      <w:r w:rsidRPr="00AF5FF5">
        <w:rPr>
          <w:spacing w:val="-3"/>
        </w:rPr>
        <w:t xml:space="preserve">) </w:t>
      </w:r>
      <w:r w:rsidRPr="00AF5FF5">
        <w:t>identifies</w:t>
      </w:r>
      <w:r w:rsidRPr="00AF5FF5">
        <w:rPr>
          <w:spacing w:val="-2"/>
        </w:rPr>
        <w:t xml:space="preserve"> </w:t>
      </w:r>
      <w:r w:rsidRPr="00AF5FF5">
        <w:t>both</w:t>
      </w:r>
      <w:r w:rsidRPr="00AF5FF5">
        <w:rPr>
          <w:spacing w:val="-3"/>
        </w:rPr>
        <w:t xml:space="preserve"> </w:t>
      </w:r>
      <w:r w:rsidRPr="00AF5FF5">
        <w:t>the</w:t>
      </w:r>
      <w:r w:rsidRPr="00AF5FF5">
        <w:rPr>
          <w:spacing w:val="-2"/>
        </w:rPr>
        <w:t xml:space="preserve"> </w:t>
      </w:r>
      <w:r w:rsidRPr="00AF5FF5">
        <w:t>level</w:t>
      </w:r>
      <w:r w:rsidRPr="00AF5FF5">
        <w:rPr>
          <w:spacing w:val="3"/>
        </w:rPr>
        <w:t xml:space="preserve"> </w:t>
      </w:r>
      <w:r w:rsidRPr="00AF5FF5">
        <w:rPr>
          <w:spacing w:val="-2"/>
        </w:rPr>
        <w:t>of</w:t>
      </w:r>
      <w:r w:rsidRPr="00AF5FF5">
        <w:t xml:space="preserve"> management</w:t>
      </w:r>
      <w:r w:rsidRPr="00AF5FF5">
        <w:rPr>
          <w:spacing w:val="1"/>
        </w:rPr>
        <w:t xml:space="preserve"> </w:t>
      </w:r>
      <w:r w:rsidRPr="00AF5FF5">
        <w:t>action required</w:t>
      </w:r>
      <w:r w:rsidRPr="00AF5FF5">
        <w:rPr>
          <w:spacing w:val="-2"/>
        </w:rPr>
        <w:t xml:space="preserve"> </w:t>
      </w:r>
      <w:r w:rsidRPr="00AF5FF5">
        <w:t>and</w:t>
      </w:r>
      <w:r w:rsidRPr="00AF5FF5">
        <w:rPr>
          <w:spacing w:val="-2"/>
        </w:rPr>
        <w:t xml:space="preserve"> </w:t>
      </w:r>
      <w:r w:rsidRPr="00AF5FF5">
        <w:t xml:space="preserve">a </w:t>
      </w:r>
      <w:r w:rsidRPr="00AF5FF5">
        <w:rPr>
          <w:spacing w:val="-2"/>
        </w:rPr>
        <w:t>time</w:t>
      </w:r>
      <w:r w:rsidRPr="00AF5FF5">
        <w:t xml:space="preserve"> frame</w:t>
      </w:r>
      <w:r w:rsidR="00201595">
        <w:t xml:space="preserve"> relevant to each GDE</w:t>
      </w:r>
      <w:r w:rsidRPr="00AF5FF5">
        <w:t xml:space="preserve"> in which</w:t>
      </w:r>
      <w:r w:rsidR="002C4EF4">
        <w:t xml:space="preserve"> </w:t>
      </w:r>
      <w:r w:rsidRPr="00AF5FF5">
        <w:t>this action needs</w:t>
      </w:r>
      <w:r w:rsidRPr="00AF5FF5">
        <w:rPr>
          <w:spacing w:val="-2"/>
        </w:rPr>
        <w:t xml:space="preserve"> </w:t>
      </w:r>
      <w:r w:rsidRPr="00AF5FF5">
        <w:t>to be</w:t>
      </w:r>
      <w:r w:rsidRPr="00AF5FF5">
        <w:rPr>
          <w:spacing w:val="-2"/>
        </w:rPr>
        <w:t xml:space="preserve"> </w:t>
      </w:r>
      <w:r w:rsidRPr="00AF5FF5">
        <w:t>implemented (Action Priority). Management actions are aligned with ecological</w:t>
      </w:r>
      <w:r w:rsidRPr="00AF5FF5">
        <w:rPr>
          <w:spacing w:val="-2"/>
        </w:rPr>
        <w:t xml:space="preserve"> </w:t>
      </w:r>
      <w:r w:rsidRPr="00A1504B">
        <w:t>value and do not vary with changes in risk (e.g. the rules for the management of high</w:t>
      </w:r>
      <w:r w:rsidR="00A1504B" w:rsidRPr="00A1504B">
        <w:t xml:space="preserve"> </w:t>
      </w:r>
      <w:r w:rsidRPr="00A1504B">
        <w:t>ecological</w:t>
      </w:r>
      <w:r w:rsidRPr="00AF5FF5">
        <w:rPr>
          <w:spacing w:val="1"/>
        </w:rPr>
        <w:t xml:space="preserve"> </w:t>
      </w:r>
      <w:r w:rsidRPr="00AF5FF5">
        <w:t xml:space="preserve">value </w:t>
      </w:r>
      <w:r w:rsidR="00C976F1">
        <w:t>GDE</w:t>
      </w:r>
      <w:r w:rsidRPr="00AF5FF5">
        <w:t>s are</w:t>
      </w:r>
      <w:r w:rsidRPr="00AF5FF5">
        <w:rPr>
          <w:spacing w:val="-2"/>
        </w:rPr>
        <w:t xml:space="preserve"> </w:t>
      </w:r>
      <w:r w:rsidRPr="00AF5FF5">
        <w:t>the</w:t>
      </w:r>
      <w:r w:rsidRPr="00AF5FF5">
        <w:rPr>
          <w:spacing w:val="-2"/>
        </w:rPr>
        <w:t xml:space="preserve"> </w:t>
      </w:r>
      <w:r w:rsidRPr="00AF5FF5">
        <w:t>same whether</w:t>
      </w:r>
      <w:r w:rsidRPr="00AF5FF5">
        <w:rPr>
          <w:spacing w:val="-2"/>
        </w:rPr>
        <w:t xml:space="preserve"> </w:t>
      </w:r>
      <w:r w:rsidRPr="00AF5FF5">
        <w:t>the</w:t>
      </w:r>
      <w:r w:rsidRPr="00AF5FF5">
        <w:rPr>
          <w:spacing w:val="-2"/>
        </w:rPr>
        <w:t xml:space="preserve"> </w:t>
      </w:r>
      <w:r w:rsidRPr="00AF5FF5">
        <w:t>risk</w:t>
      </w:r>
      <w:r w:rsidRPr="00AF5FF5">
        <w:rPr>
          <w:spacing w:val="-2"/>
        </w:rPr>
        <w:t xml:space="preserve"> </w:t>
      </w:r>
      <w:r w:rsidRPr="00AF5FF5">
        <w:t>is high or</w:t>
      </w:r>
      <w:r w:rsidRPr="00AF5FF5">
        <w:rPr>
          <w:spacing w:val="-2"/>
        </w:rPr>
        <w:t xml:space="preserve"> </w:t>
      </w:r>
      <w:r w:rsidRPr="00AF5FF5">
        <w:t>low)</w:t>
      </w:r>
      <w:r w:rsidR="00C976F1">
        <w:t>. H</w:t>
      </w:r>
      <w:r w:rsidR="00CF19DA">
        <w:t>owever</w:t>
      </w:r>
      <w:r w:rsidR="00C976F1">
        <w:t>,</w:t>
      </w:r>
      <w:r w:rsidRPr="00AF5FF5">
        <w:t xml:space="preserve"> the timing</w:t>
      </w:r>
      <w:r>
        <w:t xml:space="preserve"> of management actions varies in response to the risk level. </w:t>
      </w:r>
      <w:r w:rsidRPr="008451D3">
        <w:t xml:space="preserve"> </w:t>
      </w:r>
    </w:p>
    <w:p w14:paraId="31C8BCAB" w14:textId="77777777" w:rsidR="00C61E95" w:rsidRDefault="00A1504B" w:rsidP="00C61E95">
      <w:pPr>
        <w:pStyle w:val="BodyText"/>
      </w:pPr>
      <w:r>
        <w:t>These tools can be used to assess project</w:t>
      </w:r>
      <w:r w:rsidR="00C976F1">
        <w:t>-</w:t>
      </w:r>
      <w:r>
        <w:t>specific impacts and associated risk</w:t>
      </w:r>
      <w:r w:rsidR="00C976F1">
        <w:t>s</w:t>
      </w:r>
      <w:r w:rsidR="007A7330">
        <w:t xml:space="preserve"> to GDEs</w:t>
      </w:r>
      <w:r>
        <w:t xml:space="preserve"> in </w:t>
      </w:r>
      <w:r w:rsidR="00C976F1">
        <w:t xml:space="preserve">the </w:t>
      </w:r>
      <w:r>
        <w:t xml:space="preserve">project impact area. </w:t>
      </w:r>
      <w:r w:rsidR="00201595">
        <w:t xml:space="preserve">Only </w:t>
      </w:r>
      <w:r w:rsidR="008F5A6B" w:rsidRPr="00933927">
        <w:t>Queensland</w:t>
      </w:r>
      <w:r w:rsidR="00201595">
        <w:t xml:space="preserve"> </w:t>
      </w:r>
      <w:r w:rsidR="00505373">
        <w:t>(</w:t>
      </w:r>
      <w:hyperlink r:id="rId76" w:history="1">
        <w:r w:rsidR="00505373">
          <w:rPr>
            <w:rStyle w:val="Hyperlink"/>
          </w:rPr>
          <w:t>Qld Guidelines</w:t>
        </w:r>
      </w:hyperlink>
      <w:r w:rsidR="00505373" w:rsidRPr="00505373">
        <w:rPr>
          <w:rStyle w:val="Hyperlink"/>
          <w:color w:val="auto"/>
        </w:rPr>
        <w:t>)</w:t>
      </w:r>
      <w:r w:rsidR="00505373">
        <w:rPr>
          <w:rStyle w:val="Hyperlink"/>
          <w:color w:val="auto"/>
        </w:rPr>
        <w:t xml:space="preserve"> </w:t>
      </w:r>
      <w:r w:rsidR="00201595">
        <w:t>and New South Wales</w:t>
      </w:r>
      <w:r w:rsidR="00A80845">
        <w:t xml:space="preserve"> (</w:t>
      </w:r>
      <w:hyperlink r:id="rId77" w:history="1">
        <w:r w:rsidR="00A80845">
          <w:rPr>
            <w:rStyle w:val="Hyperlink"/>
          </w:rPr>
          <w:t>NSW Guidelines</w:t>
        </w:r>
      </w:hyperlink>
      <w:r w:rsidR="00A80845">
        <w:t xml:space="preserve">) </w:t>
      </w:r>
      <w:r w:rsidR="008F5A6B" w:rsidRPr="00933927">
        <w:t xml:space="preserve">guidelines require an assessment of GDE ecological value, magnitude of </w:t>
      </w:r>
      <w:r w:rsidR="00933927" w:rsidRPr="00933927">
        <w:t>impact and</w:t>
      </w:r>
      <w:r w:rsidR="008F5A6B" w:rsidRPr="00933927">
        <w:t xml:space="preserve"> significance of impac</w:t>
      </w:r>
      <w:r w:rsidR="00933927" w:rsidRPr="00933927">
        <w:t>t</w:t>
      </w:r>
      <w:r w:rsidR="00201595">
        <w:t xml:space="preserve">s at regional and state levels. The Queensland Guidelines are </w:t>
      </w:r>
      <w:r w:rsidR="008F5A6B" w:rsidRPr="00933927">
        <w:t>not as pr</w:t>
      </w:r>
      <w:r w:rsidR="00933927" w:rsidRPr="00933927">
        <w:t>e</w:t>
      </w:r>
      <w:r w:rsidR="008F5A6B" w:rsidRPr="00933927">
        <w:t xml:space="preserve">scriptive as the NSW guidelines in defining management actions based on the combination of ecosystem value and risk posed by </w:t>
      </w:r>
      <w:r w:rsidR="008F5A6B" w:rsidRPr="004575C3">
        <w:t>the activity.</w:t>
      </w:r>
      <w:bookmarkStart w:id="69" w:name="_Toc509397698"/>
      <w:bookmarkEnd w:id="69"/>
    </w:p>
    <w:p w14:paraId="31C8BCAC" w14:textId="77777777" w:rsidR="008F5A6B" w:rsidRDefault="008F5A6B" w:rsidP="00F3119C">
      <w:pPr>
        <w:pStyle w:val="Heading3"/>
      </w:pPr>
      <w:bookmarkStart w:id="70" w:name="_Toc509996487"/>
      <w:r w:rsidRPr="004575C3">
        <w:t>Ecological response</w:t>
      </w:r>
      <w:r>
        <w:t xml:space="preserve"> to change in groundwater condition</w:t>
      </w:r>
      <w:bookmarkEnd w:id="70"/>
    </w:p>
    <w:p w14:paraId="31C8BCAD" w14:textId="77777777" w:rsidR="00F63453" w:rsidRDefault="008F5A6B" w:rsidP="008F5A6B">
      <w:pPr>
        <w:pStyle w:val="BodyText"/>
      </w:pPr>
      <w:r w:rsidRPr="003D774F">
        <w:t>Defining how GDEs</w:t>
      </w:r>
      <w:r w:rsidR="00F63453">
        <w:t xml:space="preserve"> might</w:t>
      </w:r>
      <w:r w:rsidRPr="003D774F">
        <w:t xml:space="preserve"> respond to changes in groundwater condition</w:t>
      </w:r>
      <w:r w:rsidR="00AD68B9">
        <w:t xml:space="preserve"> (e.g. change in regime such as magnitude of fluctuation</w:t>
      </w:r>
      <w:r w:rsidRPr="003D774F">
        <w:t>, discussed in Richardson et al. (2011)</w:t>
      </w:r>
      <w:r w:rsidR="00C976F1">
        <w:t>)</w:t>
      </w:r>
      <w:r w:rsidRPr="003D774F">
        <w:t xml:space="preserve"> </w:t>
      </w:r>
      <w:r w:rsidR="00933927">
        <w:t xml:space="preserve">are </w:t>
      </w:r>
      <w:r w:rsidRPr="003D774F">
        <w:t>best described using demonstrated relationships</w:t>
      </w:r>
      <w:r w:rsidR="00C976F1">
        <w:t>. H</w:t>
      </w:r>
      <w:r w:rsidR="00F63453">
        <w:t>owever</w:t>
      </w:r>
      <w:r w:rsidR="00C976F1">
        <w:t>,</w:t>
      </w:r>
      <w:r w:rsidR="00F63453">
        <w:t xml:space="preserve"> as these are seldom available, pictorial conceptual </w:t>
      </w:r>
      <w:r w:rsidR="00F63453" w:rsidRPr="00703E92">
        <w:t>models (Section</w:t>
      </w:r>
      <w:r w:rsidR="00A1504B" w:rsidRPr="00703E92">
        <w:t xml:space="preserve"> </w:t>
      </w:r>
      <w:r w:rsidR="00301D7B">
        <w:t>5.3.1</w:t>
      </w:r>
      <w:r w:rsidR="00F63453">
        <w:t>) and causal pathways (</w:t>
      </w:r>
      <w:r w:rsidR="00703E92">
        <w:t xml:space="preserve">Section </w:t>
      </w:r>
      <w:r w:rsidR="00A1504B">
        <w:t>3</w:t>
      </w:r>
      <w:r w:rsidR="00703E92">
        <w:t>.1</w:t>
      </w:r>
      <w:r w:rsidR="00F63453">
        <w:t xml:space="preserve">) </w:t>
      </w:r>
      <w:r w:rsidR="00C976F1">
        <w:t xml:space="preserve">can be </w:t>
      </w:r>
      <w:r w:rsidR="00F63453">
        <w:t>developed</w:t>
      </w:r>
      <w:r w:rsidR="00C976F1">
        <w:t xml:space="preserve"> and used to justify predicted responses</w:t>
      </w:r>
      <w:r w:rsidR="00F63453">
        <w:t xml:space="preserve">. </w:t>
      </w:r>
      <w:r w:rsidR="003858B4">
        <w:t>Understanding</w:t>
      </w:r>
      <w:r w:rsidR="00B74C2B">
        <w:t xml:space="preserve"> </w:t>
      </w:r>
      <w:r w:rsidR="00F63453">
        <w:t>GDE response</w:t>
      </w:r>
      <w:r w:rsidR="00C976F1">
        <w:t>s</w:t>
      </w:r>
      <w:r w:rsidR="00F63453">
        <w:t xml:space="preserve"> </w:t>
      </w:r>
      <w:r w:rsidR="00B74C2B">
        <w:t xml:space="preserve">to changes </w:t>
      </w:r>
      <w:r w:rsidR="00C976F1">
        <w:t xml:space="preserve">in </w:t>
      </w:r>
      <w:r w:rsidR="00B74C2B">
        <w:t xml:space="preserve">groundwater condition </w:t>
      </w:r>
      <w:r w:rsidR="003858B4">
        <w:t xml:space="preserve">can then be </w:t>
      </w:r>
      <w:r w:rsidR="00B74C2B">
        <w:t>supported by data and demonstrated relationships if they are available, once a conceptual understanding is developed.</w:t>
      </w:r>
    </w:p>
    <w:p w14:paraId="31C8BCAE" w14:textId="77777777" w:rsidR="00B74C2B" w:rsidRDefault="00B74C2B" w:rsidP="008F5A6B">
      <w:pPr>
        <w:pStyle w:val="BodyText"/>
      </w:pPr>
      <w:r>
        <w:t xml:space="preserve">Tools to help determine ecological function in relation to change in groundwater regime (e.g. leaf </w:t>
      </w:r>
      <w:r w:rsidR="003858B4">
        <w:t xml:space="preserve">water potential, isotope </w:t>
      </w:r>
      <w:r>
        <w:t>and water use studies</w:t>
      </w:r>
      <w:r w:rsidR="006222C9">
        <w:t xml:space="preserve"> - </w:t>
      </w:r>
      <w:r w:rsidR="006222C9">
        <w:fldChar w:fldCharType="begin"/>
      </w:r>
      <w:r w:rsidR="006222C9">
        <w:instrText xml:space="preserve"> REF _Ref509649878 \h </w:instrText>
      </w:r>
      <w:r w:rsidR="006222C9">
        <w:fldChar w:fldCharType="separate"/>
      </w:r>
      <w:r w:rsidR="00E96B43">
        <w:t xml:space="preserve">Table </w:t>
      </w:r>
      <w:r w:rsidR="00E96B43">
        <w:rPr>
          <w:noProof/>
        </w:rPr>
        <w:t>2</w:t>
      </w:r>
      <w:r w:rsidR="006222C9">
        <w:fldChar w:fldCharType="end"/>
      </w:r>
      <w:r w:rsidR="006222C9">
        <w:t xml:space="preserve"> and</w:t>
      </w:r>
      <w:r>
        <w:t xml:space="preserve"> </w:t>
      </w:r>
      <w:r>
        <w:fldChar w:fldCharType="begin"/>
      </w:r>
      <w:r>
        <w:instrText xml:space="preserve"> REF _Ref507707870 \h </w:instrText>
      </w:r>
      <w:r>
        <w:fldChar w:fldCharType="separate"/>
      </w:r>
      <w:r w:rsidR="00E96B43">
        <w:t xml:space="preserve">App Table </w:t>
      </w:r>
      <w:r w:rsidR="00E96B43">
        <w:rPr>
          <w:noProof/>
        </w:rPr>
        <w:t>2</w:t>
      </w:r>
      <w:r>
        <w:fldChar w:fldCharType="end"/>
      </w:r>
      <w:r>
        <w:t xml:space="preserve">) may need to be </w:t>
      </w:r>
      <w:r w:rsidR="00C976F1">
        <w:t xml:space="preserve">applied </w:t>
      </w:r>
      <w:r>
        <w:t xml:space="preserve">spatially and temporally as demonstrated in CASE STUDY </w:t>
      </w:r>
      <w:r w:rsidR="003858B4">
        <w:t>6</w:t>
      </w:r>
      <w:r>
        <w:t xml:space="preserve"> to understand the interaction between the GDE and groundwater connection.</w:t>
      </w:r>
    </w:p>
    <w:p w14:paraId="31C8BCAF" w14:textId="77777777" w:rsidR="00FD6ABB" w:rsidRDefault="008F5A6B" w:rsidP="008F5A6B">
      <w:pPr>
        <w:pStyle w:val="BodyText"/>
      </w:pPr>
      <w:r w:rsidRPr="00862B41">
        <w:lastRenderedPageBreak/>
        <w:t xml:space="preserve">In general, changes in groundwater availability have been found </w:t>
      </w:r>
      <w:r w:rsidR="006222C9">
        <w:t xml:space="preserve">to impact growth, reproduction, </w:t>
      </w:r>
      <w:r w:rsidRPr="00862B41">
        <w:t>recruitment</w:t>
      </w:r>
      <w:r w:rsidR="006222C9">
        <w:t xml:space="preserve"> and</w:t>
      </w:r>
      <w:r w:rsidRPr="00862B41">
        <w:t xml:space="preserve"> mortality of </w:t>
      </w:r>
      <w:r w:rsidR="006222C9">
        <w:t>groundwater</w:t>
      </w:r>
      <w:r w:rsidR="00C976F1">
        <w:t>-</w:t>
      </w:r>
      <w:r w:rsidR="006222C9">
        <w:t>dependent biota and to alter the structure and function of GDEs</w:t>
      </w:r>
      <w:r w:rsidRPr="00862B41">
        <w:t xml:space="preserve"> (</w:t>
      </w:r>
      <w:proofErr w:type="spellStart"/>
      <w:r w:rsidRPr="00862B41">
        <w:t>Eamus</w:t>
      </w:r>
      <w:proofErr w:type="spellEnd"/>
      <w:r w:rsidRPr="00862B41">
        <w:t xml:space="preserve"> et al., 2006</w:t>
      </w:r>
      <w:r w:rsidR="001F7D79">
        <w:t>; Kath et al., 2014</w:t>
      </w:r>
      <w:r w:rsidRPr="00862B41">
        <w:t>). Data collected from monitoring programs can be used to derive and</w:t>
      </w:r>
      <w:r w:rsidR="006222C9">
        <w:t xml:space="preserve"> revise</w:t>
      </w:r>
      <w:r w:rsidRPr="00862B41">
        <w:t xml:space="preserve"> conceptual and predictive models to further test hypotheses of how ecosystems may change if imp</w:t>
      </w:r>
      <w:r w:rsidR="00933927">
        <w:t>acted by threatening groundwater</w:t>
      </w:r>
      <w:r w:rsidR="00C976F1">
        <w:t>-</w:t>
      </w:r>
      <w:r w:rsidRPr="00862B41">
        <w:t>related processes</w:t>
      </w:r>
      <w:r w:rsidR="006222C9">
        <w:t xml:space="preserve">. For example, </w:t>
      </w:r>
      <w:r w:rsidR="00FD6ABB">
        <w:t>field data collect</w:t>
      </w:r>
      <w:r w:rsidR="00C976F1">
        <w:t>ed</w:t>
      </w:r>
      <w:r w:rsidR="00FD6ABB">
        <w:t xml:space="preserve"> after conceptual model development confirm</w:t>
      </w:r>
      <w:r w:rsidR="00C976F1">
        <w:t>ed</w:t>
      </w:r>
      <w:r w:rsidR="00FD6ABB">
        <w:t xml:space="preserve"> that riparian Red Gum will access groundwater when other water sources are not easily available (Doody et al., 2009)</w:t>
      </w:r>
      <w:r w:rsidR="00C976F1">
        <w:t>,</w:t>
      </w:r>
      <w:r w:rsidR="00FD6ABB">
        <w:t xml:space="preserve"> further informing the processes displayed in </w:t>
      </w:r>
      <w:r w:rsidR="00C976F1">
        <w:t xml:space="preserve">the </w:t>
      </w:r>
      <w:r w:rsidR="00FD6ABB">
        <w:t xml:space="preserve">conceptual model. This may lead to a new hypothesis that groundwater alteration in riparian areas supporting Red Gum will have significant impacts </w:t>
      </w:r>
      <w:r w:rsidR="00C976F1">
        <w:t xml:space="preserve">during </w:t>
      </w:r>
      <w:r w:rsidR="00FD6ABB">
        <w:t>times of extended drought when rainfall is below average and surface water flows are substantially reduced.</w:t>
      </w:r>
    </w:p>
    <w:p w14:paraId="31C8BCB0" w14:textId="77777777" w:rsidR="008F5A6B" w:rsidRPr="003D774F" w:rsidRDefault="009B1B23" w:rsidP="008F5A6B">
      <w:pPr>
        <w:pStyle w:val="BodyText"/>
      </w:pPr>
      <w:r>
        <w:t>Assessing</w:t>
      </w:r>
      <w:r w:rsidR="008F5A6B" w:rsidRPr="00862B41">
        <w:t xml:space="preserve"> GDE response to change in groundwater condition </w:t>
      </w:r>
      <w:r w:rsidR="008F5A6B">
        <w:t>must</w:t>
      </w:r>
      <w:r w:rsidR="008F5A6B" w:rsidRPr="00862B41">
        <w:t xml:space="preserve"> include spatial and</w:t>
      </w:r>
      <w:r w:rsidR="008F5A6B" w:rsidRPr="003D774F">
        <w:t xml:space="preserve"> temporal</w:t>
      </w:r>
      <w:r w:rsidR="008F5A6B">
        <w:t xml:space="preserve"> consideration of:</w:t>
      </w:r>
    </w:p>
    <w:p w14:paraId="31C8BCB1" w14:textId="77777777" w:rsidR="008F5A6B" w:rsidRPr="003D774F" w:rsidRDefault="00933927" w:rsidP="00F1192F">
      <w:pPr>
        <w:pStyle w:val="BodyText"/>
        <w:numPr>
          <w:ilvl w:val="0"/>
          <w:numId w:val="25"/>
        </w:numPr>
      </w:pPr>
      <w:r>
        <w:t>h</w:t>
      </w:r>
      <w:r w:rsidR="008F5A6B" w:rsidRPr="003D774F">
        <w:t xml:space="preserve">ow the GDE (or </w:t>
      </w:r>
      <w:r w:rsidR="00C976F1">
        <w:t xml:space="preserve">one of its </w:t>
      </w:r>
      <w:r w:rsidR="008F5A6B" w:rsidRPr="003D774F">
        <w:t>component</w:t>
      </w:r>
      <w:r w:rsidR="00C976F1">
        <w:t>s</w:t>
      </w:r>
      <w:r w:rsidR="008F5A6B" w:rsidRPr="003D774F">
        <w:t>) is likely to re</w:t>
      </w:r>
      <w:r w:rsidR="007A7330">
        <w:t>spond to changes in groundwater</w:t>
      </w:r>
      <w:r w:rsidR="00274B6F">
        <w:t xml:space="preserve"> regime and </w:t>
      </w:r>
      <w:r w:rsidR="00C976F1">
        <w:t xml:space="preserve">water </w:t>
      </w:r>
      <w:r w:rsidR="00274B6F">
        <w:t>quality</w:t>
      </w:r>
    </w:p>
    <w:p w14:paraId="31C8BCB2" w14:textId="77777777" w:rsidR="008F5A6B" w:rsidRPr="003D774F" w:rsidRDefault="00933927" w:rsidP="00F1192F">
      <w:pPr>
        <w:pStyle w:val="BodyText"/>
        <w:numPr>
          <w:ilvl w:val="0"/>
          <w:numId w:val="25"/>
        </w:numPr>
      </w:pPr>
      <w:r>
        <w:t>t</w:t>
      </w:r>
      <w:r w:rsidR="008F5A6B">
        <w:t>he n</w:t>
      </w:r>
      <w:r w:rsidR="008F5A6B" w:rsidRPr="003D774F">
        <w:t xml:space="preserve">atural range of hydrological conditions </w:t>
      </w:r>
      <w:r w:rsidR="00DB6F7F">
        <w:t>under</w:t>
      </w:r>
      <w:r w:rsidR="00DB6F7F" w:rsidRPr="003D774F">
        <w:t xml:space="preserve"> </w:t>
      </w:r>
      <w:r w:rsidR="008F5A6B" w:rsidRPr="003D774F">
        <w:t>which the GDEs persist</w:t>
      </w:r>
    </w:p>
    <w:p w14:paraId="31C8BCB3" w14:textId="77777777" w:rsidR="008F5A6B" w:rsidRDefault="00933927" w:rsidP="00F1192F">
      <w:pPr>
        <w:pStyle w:val="BodyText"/>
        <w:numPr>
          <w:ilvl w:val="0"/>
          <w:numId w:val="25"/>
        </w:numPr>
      </w:pPr>
      <w:r>
        <w:t>t</w:t>
      </w:r>
      <w:r w:rsidR="008F5A6B" w:rsidRPr="003D774F">
        <w:t>he hydrological thresholds that represent the limits of ecosy</w:t>
      </w:r>
      <w:r w:rsidR="001F7D79">
        <w:t>stem persistence and resilience or vulnerability</w:t>
      </w:r>
    </w:p>
    <w:p w14:paraId="31C8BCB4" w14:textId="77777777" w:rsidR="00A710B8" w:rsidRDefault="00DB6F7F" w:rsidP="008F5A6B">
      <w:pPr>
        <w:pStyle w:val="BodyText"/>
      </w:pPr>
      <w:r>
        <w:t>As</w:t>
      </w:r>
      <w:r w:rsidRPr="00862B41">
        <w:t xml:space="preserve"> </w:t>
      </w:r>
      <w:r w:rsidR="008F5A6B" w:rsidRPr="00862B41">
        <w:t xml:space="preserve">uncertainty in determining thresholds between hydrologic regime and ecological response can be high, particularly </w:t>
      </w:r>
      <w:r>
        <w:t>during</w:t>
      </w:r>
      <w:r w:rsidRPr="00862B41">
        <w:t xml:space="preserve"> </w:t>
      </w:r>
      <w:r w:rsidR="008F5A6B" w:rsidRPr="00862B41">
        <w:t xml:space="preserve">the early years of </w:t>
      </w:r>
      <w:r w:rsidR="009B1B23">
        <w:t>CSG and LCM development</w:t>
      </w:r>
      <w:r w:rsidR="008F5A6B" w:rsidRPr="00862B41">
        <w:t>, NSW and Q</w:t>
      </w:r>
      <w:r w:rsidR="008F5A6B">
        <w:t>ueens</w:t>
      </w:r>
      <w:r w:rsidR="008F5A6B" w:rsidRPr="00862B41">
        <w:t>l</w:t>
      </w:r>
      <w:r w:rsidR="008F5A6B">
        <w:t>an</w:t>
      </w:r>
      <w:r w:rsidR="008F5A6B" w:rsidRPr="00862B41">
        <w:t xml:space="preserve">d integrated </w:t>
      </w:r>
      <w:r w:rsidR="008F5A6B" w:rsidRPr="006C7AB2">
        <w:t>risk assessments into their protocols for determining threats to GDEs (</w:t>
      </w:r>
      <w:r w:rsidR="00301D7B">
        <w:t>s</w:t>
      </w:r>
      <w:r w:rsidR="004575C3">
        <w:t>ection</w:t>
      </w:r>
      <w:r w:rsidR="008F5A6B" w:rsidRPr="006C7AB2">
        <w:t xml:space="preserve"> </w:t>
      </w:r>
      <w:r w:rsidR="00933927">
        <w:t>7.</w:t>
      </w:r>
      <w:r w:rsidR="00301D7B">
        <w:t>2</w:t>
      </w:r>
      <w:r w:rsidR="008F5A6B" w:rsidRPr="00862B41">
        <w:t xml:space="preserve">). This aims to minimise the impacts on the most valuable and vulnerable GDEs (Rohde et al., 2017) until their ecological water requirements are better understood through long-term monitoring of ecological response to changes in </w:t>
      </w:r>
      <w:r w:rsidR="009B1B23">
        <w:t>groundwater</w:t>
      </w:r>
      <w:r w:rsidR="008F5A6B" w:rsidRPr="00862B41">
        <w:t xml:space="preserve"> regime (T13</w:t>
      </w:r>
      <w:r w:rsidR="008551F5">
        <w:t xml:space="preserve"> - </w:t>
      </w:r>
      <w:r w:rsidR="009B1B23">
        <w:t>long term observation of ecosystem response to change</w:t>
      </w:r>
      <w:r w:rsidR="008F5A6B" w:rsidRPr="00862B41">
        <w:t>,</w:t>
      </w:r>
      <w:r w:rsidR="009B1B23">
        <w:t xml:space="preserve"> </w:t>
      </w:r>
      <w:r w:rsidR="009B1B23">
        <w:fldChar w:fldCharType="begin"/>
      </w:r>
      <w:r w:rsidR="009B1B23">
        <w:instrText xml:space="preserve"> REF _Ref509649878 \h </w:instrText>
      </w:r>
      <w:r w:rsidR="009B1B23">
        <w:fldChar w:fldCharType="separate"/>
      </w:r>
      <w:r w:rsidR="00E96B43">
        <w:t xml:space="preserve">Table </w:t>
      </w:r>
      <w:r w:rsidR="00E96B43">
        <w:rPr>
          <w:noProof/>
        </w:rPr>
        <w:t>2</w:t>
      </w:r>
      <w:r w:rsidR="009B1B23">
        <w:fldChar w:fldCharType="end"/>
      </w:r>
      <w:r w:rsidR="009B1B23">
        <w:t xml:space="preserve"> and</w:t>
      </w:r>
      <w:r w:rsidR="008F5A6B" w:rsidRPr="00862B41">
        <w:t xml:space="preserve"> </w:t>
      </w:r>
      <w:r w:rsidR="008F5A6B">
        <w:fldChar w:fldCharType="begin"/>
      </w:r>
      <w:r w:rsidR="008F5A6B">
        <w:instrText xml:space="preserve"> REF _Ref507707870 \h </w:instrText>
      </w:r>
      <w:r w:rsidR="008F5A6B">
        <w:fldChar w:fldCharType="separate"/>
      </w:r>
      <w:r w:rsidR="00E96B43">
        <w:t xml:space="preserve">App Table </w:t>
      </w:r>
      <w:r w:rsidR="00E96B43">
        <w:rPr>
          <w:noProof/>
        </w:rPr>
        <w:t>2</w:t>
      </w:r>
      <w:r w:rsidR="008F5A6B">
        <w:fldChar w:fldCharType="end"/>
      </w:r>
      <w:r w:rsidR="008F5A6B" w:rsidRPr="00862B41">
        <w:t>) and modelling ecosystem response to potential threats to groundwater (T14</w:t>
      </w:r>
      <w:r w:rsidR="008551F5">
        <w:t xml:space="preserve"> - </w:t>
      </w:r>
      <w:r w:rsidR="009B1B23">
        <w:t xml:space="preserve">numerical groundwater modelling, </w:t>
      </w:r>
      <w:r w:rsidR="009B1B23">
        <w:fldChar w:fldCharType="begin"/>
      </w:r>
      <w:r w:rsidR="009B1B23">
        <w:instrText xml:space="preserve"> REF _Ref509649878 \h </w:instrText>
      </w:r>
      <w:r w:rsidR="009B1B23">
        <w:fldChar w:fldCharType="separate"/>
      </w:r>
      <w:r w:rsidR="00E96B43">
        <w:t xml:space="preserve">Table </w:t>
      </w:r>
      <w:r w:rsidR="00E96B43">
        <w:rPr>
          <w:noProof/>
        </w:rPr>
        <w:t>2</w:t>
      </w:r>
      <w:r w:rsidR="009B1B23">
        <w:fldChar w:fldCharType="end"/>
      </w:r>
      <w:r w:rsidR="009B1B23">
        <w:t xml:space="preserve"> and</w:t>
      </w:r>
      <w:r w:rsidR="008F5A6B">
        <w:t xml:space="preserve"> </w:t>
      </w:r>
      <w:r w:rsidR="008F5A6B">
        <w:fldChar w:fldCharType="begin"/>
      </w:r>
      <w:r w:rsidR="008F5A6B">
        <w:instrText xml:space="preserve"> REF _Ref507707870 \h </w:instrText>
      </w:r>
      <w:r w:rsidR="008F5A6B">
        <w:fldChar w:fldCharType="separate"/>
      </w:r>
      <w:r w:rsidR="00E96B43">
        <w:t xml:space="preserve">App Table </w:t>
      </w:r>
      <w:r w:rsidR="00E96B43">
        <w:rPr>
          <w:noProof/>
        </w:rPr>
        <w:t>2</w:t>
      </w:r>
      <w:r w:rsidR="008F5A6B">
        <w:fldChar w:fldCharType="end"/>
      </w:r>
      <w:r w:rsidR="008F5A6B" w:rsidRPr="00862B41">
        <w:t>).</w:t>
      </w:r>
    </w:p>
    <w:p w14:paraId="31C8BCB5" w14:textId="77777777" w:rsidR="008F5A6B" w:rsidRDefault="00A710B8" w:rsidP="008F5A6B">
      <w:pPr>
        <w:pStyle w:val="BodyText"/>
      </w:pPr>
      <w:r>
        <w:rPr>
          <w:noProof/>
        </w:rPr>
        <w:drawing>
          <wp:anchor distT="0" distB="0" distL="114300" distR="114300" simplePos="0" relativeHeight="251885056" behindDoc="0" locked="0" layoutInCell="1" allowOverlap="1" wp14:anchorId="31C8C308" wp14:editId="31C8C309">
            <wp:simplePos x="0" y="0"/>
            <wp:positionH relativeFrom="margin">
              <wp:align>left</wp:align>
            </wp:positionH>
            <wp:positionV relativeFrom="paragraph">
              <wp:posOffset>6844</wp:posOffset>
            </wp:positionV>
            <wp:extent cx="2645410" cy="1781175"/>
            <wp:effectExtent l="0" t="0" r="2540" b="9525"/>
            <wp:wrapThrough wrapText="bothSides">
              <wp:wrapPolygon edited="0">
                <wp:start x="0" y="0"/>
                <wp:lineTo x="0" y="21484"/>
                <wp:lineTo x="21465" y="21484"/>
                <wp:lineTo x="21465" y="0"/>
                <wp:lineTo x="0" y="0"/>
              </wp:wrapPolygon>
            </wp:wrapThrough>
            <wp:docPr id="61441" name="Picture 6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1" name="P1020665v1.jpg"/>
                    <pic:cNvPicPr/>
                  </pic:nvPicPr>
                  <pic:blipFill>
                    <a:blip r:embed="rId78" cstate="email">
                      <a:extLst>
                        <a:ext uri="{28A0092B-C50C-407E-A947-70E740481C1C}">
                          <a14:useLocalDpi xmlns:a14="http://schemas.microsoft.com/office/drawing/2010/main"/>
                        </a:ext>
                      </a:extLst>
                    </a:blip>
                    <a:stretch>
                      <a:fillRect/>
                    </a:stretch>
                  </pic:blipFill>
                  <pic:spPr>
                    <a:xfrm>
                      <a:off x="0" y="0"/>
                      <a:ext cx="2645410" cy="1781175"/>
                    </a:xfrm>
                    <a:prstGeom prst="rect">
                      <a:avLst/>
                    </a:prstGeom>
                  </pic:spPr>
                </pic:pic>
              </a:graphicData>
            </a:graphic>
          </wp:anchor>
        </w:drawing>
      </w:r>
    </w:p>
    <w:p w14:paraId="31C8BCB6" w14:textId="77777777" w:rsidR="006D49BF" w:rsidRDefault="006D49BF" w:rsidP="003858B4">
      <w:pPr>
        <w:pStyle w:val="ListNumber"/>
        <w:numPr>
          <w:ilvl w:val="0"/>
          <w:numId w:val="0"/>
        </w:numPr>
        <w:ind w:left="397"/>
        <w:rPr>
          <w:noProof/>
        </w:rPr>
      </w:pPr>
      <w:r w:rsidRPr="003858B4">
        <w:rPr>
          <w:b/>
          <w:noProof/>
        </w:rPr>
        <w:t xml:space="preserve">CASE STUDY </w:t>
      </w:r>
      <w:r w:rsidR="003858B4" w:rsidRPr="003858B4">
        <w:rPr>
          <w:b/>
          <w:noProof/>
        </w:rPr>
        <w:t>6</w:t>
      </w:r>
      <w:r w:rsidRPr="003858B4">
        <w:rPr>
          <w:b/>
          <w:noProof/>
        </w:rPr>
        <w:t>:</w:t>
      </w:r>
      <w:r>
        <w:rPr>
          <w:noProof/>
        </w:rPr>
        <w:t xml:space="preserve"> </w:t>
      </w:r>
      <w:r w:rsidRPr="003858B4">
        <w:rPr>
          <w:i/>
          <w:noProof/>
          <w:u w:val="single"/>
        </w:rPr>
        <w:t>Long-term monitoring of ecosystem response to changes in groundwater condition: Gnangara Mound, W</w:t>
      </w:r>
      <w:r w:rsidR="003858B4">
        <w:rPr>
          <w:i/>
          <w:noProof/>
          <w:u w:val="single"/>
        </w:rPr>
        <w:t xml:space="preserve">estern </w:t>
      </w:r>
      <w:r w:rsidRPr="003858B4">
        <w:rPr>
          <w:i/>
          <w:noProof/>
          <w:u w:val="single"/>
        </w:rPr>
        <w:t>A</w:t>
      </w:r>
      <w:r w:rsidR="003858B4">
        <w:rPr>
          <w:i/>
          <w:noProof/>
          <w:u w:val="single"/>
        </w:rPr>
        <w:t>ustralia</w:t>
      </w:r>
    </w:p>
    <w:p w14:paraId="31C8BCB7" w14:textId="77777777" w:rsidR="006D49BF" w:rsidRPr="00520E1E" w:rsidRDefault="006D49BF" w:rsidP="006D49BF">
      <w:pPr>
        <w:pStyle w:val="BodyText"/>
        <w:rPr>
          <w:i/>
        </w:rPr>
      </w:pPr>
      <w:r w:rsidRPr="00520E1E">
        <w:rPr>
          <w:i/>
        </w:rPr>
        <w:t xml:space="preserve">Gnangara Mound is a shallow unconfined aquifer that is used to supply groundwater to </w:t>
      </w:r>
      <w:r>
        <w:rPr>
          <w:i/>
        </w:rPr>
        <w:t xml:space="preserve">the </w:t>
      </w:r>
      <w:r w:rsidRPr="00520E1E">
        <w:rPr>
          <w:i/>
        </w:rPr>
        <w:t>Perth metropolitan area. Surface water, groundwater and vegetation have been monitored around Gnangara Mound over the last four decades. The amplitude of seasonal fluctuation in groundwater level is about 2.5</w:t>
      </w:r>
      <w:r>
        <w:rPr>
          <w:i/>
        </w:rPr>
        <w:t xml:space="preserve"> </w:t>
      </w:r>
      <w:r w:rsidRPr="00520E1E">
        <w:rPr>
          <w:i/>
        </w:rPr>
        <w:t>m. Only two years after groundwater extraction commenced</w:t>
      </w:r>
      <w:r w:rsidR="00DB6F7F">
        <w:rPr>
          <w:i/>
        </w:rPr>
        <w:t>,</w:t>
      </w:r>
      <w:r w:rsidRPr="00520E1E">
        <w:rPr>
          <w:i/>
        </w:rPr>
        <w:t xml:space="preserve"> groundwater levels declined by an additional 2.2</w:t>
      </w:r>
      <w:r>
        <w:rPr>
          <w:i/>
        </w:rPr>
        <w:t xml:space="preserve"> </w:t>
      </w:r>
      <w:r w:rsidRPr="00520E1E">
        <w:rPr>
          <w:i/>
        </w:rPr>
        <w:t xml:space="preserve">m during summer. The decline in </w:t>
      </w:r>
      <w:proofErr w:type="spellStart"/>
      <w:r w:rsidR="00AB6B3E">
        <w:rPr>
          <w:i/>
        </w:rPr>
        <w:t>watertable</w:t>
      </w:r>
      <w:proofErr w:type="spellEnd"/>
      <w:r w:rsidRPr="00520E1E">
        <w:rPr>
          <w:i/>
        </w:rPr>
        <w:t xml:space="preserve"> coupled with lower</w:t>
      </w:r>
      <w:r w:rsidR="00DB6F7F">
        <w:rPr>
          <w:i/>
        </w:rPr>
        <w:t>-</w:t>
      </w:r>
      <w:r w:rsidRPr="00520E1E">
        <w:rPr>
          <w:i/>
        </w:rPr>
        <w:t>than</w:t>
      </w:r>
      <w:r w:rsidR="00DB6F7F">
        <w:rPr>
          <w:i/>
        </w:rPr>
        <w:t>-</w:t>
      </w:r>
      <w:r w:rsidRPr="00520E1E">
        <w:rPr>
          <w:i/>
        </w:rPr>
        <w:t xml:space="preserve">average annual rainfall and a period of high summer temperatures resulted in extensive dieback of Banksia species (a loss of between 20 and 80% of adults of </w:t>
      </w:r>
      <w:proofErr w:type="spellStart"/>
      <w:r w:rsidRPr="00520E1E">
        <w:rPr>
          <w:i/>
        </w:rPr>
        <w:t>overstorey</w:t>
      </w:r>
      <w:proofErr w:type="spellEnd"/>
      <w:r w:rsidRPr="00520E1E">
        <w:rPr>
          <w:i/>
        </w:rPr>
        <w:t xml:space="preserve"> species and up to 64% of adults of understorey species) within 200</w:t>
      </w:r>
      <w:r w:rsidR="001F7D79">
        <w:rPr>
          <w:i/>
        </w:rPr>
        <w:t xml:space="preserve"> </w:t>
      </w:r>
      <w:r w:rsidRPr="00520E1E">
        <w:rPr>
          <w:i/>
        </w:rPr>
        <w:t xml:space="preserve">m of the production bore. No significant </w:t>
      </w:r>
      <w:proofErr w:type="spellStart"/>
      <w:r w:rsidRPr="00520E1E">
        <w:rPr>
          <w:i/>
        </w:rPr>
        <w:t>overstorey</w:t>
      </w:r>
      <w:proofErr w:type="spellEnd"/>
      <w:r w:rsidRPr="00520E1E">
        <w:rPr>
          <w:i/>
        </w:rPr>
        <w:t xml:space="preserve"> or understorey dieback occurred at the reference site over the same period (Groom et al., 2000). Many subsequent studies, summarised in </w:t>
      </w:r>
      <w:proofErr w:type="spellStart"/>
      <w:r w:rsidRPr="00520E1E">
        <w:rPr>
          <w:i/>
        </w:rPr>
        <w:t>Eamus</w:t>
      </w:r>
      <w:proofErr w:type="spellEnd"/>
      <w:r w:rsidRPr="00520E1E">
        <w:rPr>
          <w:i/>
        </w:rPr>
        <w:t xml:space="preserve"> et al. (2015b), examined the vulnerability of Banksia species to changes in the depth to the </w:t>
      </w:r>
      <w:proofErr w:type="spellStart"/>
      <w:r w:rsidR="00AB6B3E">
        <w:rPr>
          <w:i/>
        </w:rPr>
        <w:t>watertable</w:t>
      </w:r>
      <w:proofErr w:type="spellEnd"/>
      <w:r w:rsidR="00DB6F7F">
        <w:rPr>
          <w:i/>
        </w:rPr>
        <w:t xml:space="preserve"> by</w:t>
      </w:r>
      <w:r w:rsidRPr="00520E1E">
        <w:rPr>
          <w:i/>
        </w:rPr>
        <w:t xml:space="preserve"> using a number of techniques for understanding veg</w:t>
      </w:r>
      <w:r>
        <w:rPr>
          <w:i/>
        </w:rPr>
        <w:t>etation water stress (including</w:t>
      </w:r>
      <w:r w:rsidRPr="00520E1E">
        <w:rPr>
          <w:i/>
        </w:rPr>
        <w:t xml:space="preserve"> xylem embolism vulnerability, leaf water potential, Huber values (the ratio of sapwood to leaf area), leaf-specific hydraulic conductivity, </w:t>
      </w:r>
      <w:r w:rsidR="00DB6F7F">
        <w:rPr>
          <w:i/>
        </w:rPr>
        <w:t xml:space="preserve">and </w:t>
      </w:r>
      <w:r w:rsidRPr="00520E1E">
        <w:rPr>
          <w:i/>
        </w:rPr>
        <w:t>root growth).</w:t>
      </w:r>
    </w:p>
    <w:p w14:paraId="31C8BCB8" w14:textId="77777777" w:rsidR="006D49BF" w:rsidRPr="00520E1E" w:rsidRDefault="00DB6F7F" w:rsidP="006D49BF">
      <w:pPr>
        <w:pStyle w:val="BodyText"/>
        <w:rPr>
          <w:i/>
        </w:rPr>
      </w:pPr>
      <w:r>
        <w:rPr>
          <w:i/>
        </w:rPr>
        <w:t>K</w:t>
      </w:r>
      <w:r w:rsidR="006D49BF" w:rsidRPr="00520E1E">
        <w:rPr>
          <w:i/>
        </w:rPr>
        <w:t>ey findings</w:t>
      </w:r>
      <w:r>
        <w:rPr>
          <w:i/>
        </w:rPr>
        <w:t xml:space="preserve"> included</w:t>
      </w:r>
      <w:r w:rsidR="006D49BF" w:rsidRPr="00520E1E">
        <w:rPr>
          <w:i/>
        </w:rPr>
        <w:t>:</w:t>
      </w:r>
    </w:p>
    <w:p w14:paraId="31C8BCB9" w14:textId="77777777" w:rsidR="006D49BF" w:rsidRPr="00520E1E" w:rsidRDefault="006D49BF" w:rsidP="008C5F19">
      <w:pPr>
        <w:pStyle w:val="BodyText"/>
        <w:numPr>
          <w:ilvl w:val="0"/>
          <w:numId w:val="38"/>
        </w:numPr>
        <w:rPr>
          <w:i/>
        </w:rPr>
      </w:pPr>
      <w:proofErr w:type="gramStart"/>
      <w:r>
        <w:rPr>
          <w:i/>
        </w:rPr>
        <w:t>t</w:t>
      </w:r>
      <w:r w:rsidRPr="00520E1E">
        <w:rPr>
          <w:i/>
        </w:rPr>
        <w:t>wo</w:t>
      </w:r>
      <w:proofErr w:type="gramEnd"/>
      <w:r w:rsidRPr="00520E1E">
        <w:rPr>
          <w:i/>
        </w:rPr>
        <w:t xml:space="preserve"> of the species of facultative </w:t>
      </w:r>
      <w:proofErr w:type="spellStart"/>
      <w:r w:rsidRPr="00520E1E">
        <w:rPr>
          <w:i/>
        </w:rPr>
        <w:t>phreatophytes</w:t>
      </w:r>
      <w:proofErr w:type="spellEnd"/>
      <w:r w:rsidRPr="00520E1E">
        <w:rPr>
          <w:i/>
        </w:rPr>
        <w:t xml:space="preserve"> were more resistant to xylem embolism at the upper slope (greater depth to groundwater) than at the lower slope (</w:t>
      </w:r>
      <w:proofErr w:type="spellStart"/>
      <w:r w:rsidRPr="00520E1E">
        <w:rPr>
          <w:i/>
        </w:rPr>
        <w:t>Canham</w:t>
      </w:r>
      <w:proofErr w:type="spellEnd"/>
      <w:r w:rsidRPr="00520E1E">
        <w:rPr>
          <w:i/>
        </w:rPr>
        <w:t xml:space="preserve"> et al., 2009).</w:t>
      </w:r>
    </w:p>
    <w:p w14:paraId="31C8BCBA" w14:textId="77777777" w:rsidR="006D49BF" w:rsidRPr="00520E1E" w:rsidRDefault="006D49BF" w:rsidP="008C5F19">
      <w:pPr>
        <w:pStyle w:val="BodyText"/>
        <w:numPr>
          <w:ilvl w:val="0"/>
          <w:numId w:val="38"/>
        </w:numPr>
        <w:rPr>
          <w:i/>
        </w:rPr>
      </w:pPr>
      <w:proofErr w:type="gramStart"/>
      <w:r>
        <w:rPr>
          <w:i/>
        </w:rPr>
        <w:t>v</w:t>
      </w:r>
      <w:r w:rsidRPr="00520E1E">
        <w:rPr>
          <w:i/>
        </w:rPr>
        <w:t>egetation</w:t>
      </w:r>
      <w:proofErr w:type="gramEnd"/>
      <w:r w:rsidRPr="00520E1E">
        <w:rPr>
          <w:i/>
        </w:rPr>
        <w:t xml:space="preserve"> species in order of increasing sensitivity to groundwater level decline</w:t>
      </w:r>
      <w:r w:rsidR="00DB6F7F">
        <w:rPr>
          <w:i/>
        </w:rPr>
        <w:t xml:space="preserve"> were</w:t>
      </w:r>
      <w:r w:rsidRPr="00520E1E">
        <w:rPr>
          <w:i/>
        </w:rPr>
        <w:t xml:space="preserve">: B. </w:t>
      </w:r>
      <w:proofErr w:type="spellStart"/>
      <w:r w:rsidRPr="00520E1E">
        <w:rPr>
          <w:i/>
        </w:rPr>
        <w:t>menziesii</w:t>
      </w:r>
      <w:proofErr w:type="spellEnd"/>
      <w:r w:rsidRPr="00520E1E">
        <w:rPr>
          <w:i/>
        </w:rPr>
        <w:t xml:space="preserve">, B. </w:t>
      </w:r>
      <w:proofErr w:type="spellStart"/>
      <w:r w:rsidRPr="00520E1E">
        <w:rPr>
          <w:i/>
        </w:rPr>
        <w:t>attenuata</w:t>
      </w:r>
      <w:proofErr w:type="spellEnd"/>
      <w:r w:rsidRPr="00520E1E">
        <w:rPr>
          <w:i/>
        </w:rPr>
        <w:t xml:space="preserve">, B. </w:t>
      </w:r>
      <w:proofErr w:type="spellStart"/>
      <w:r w:rsidRPr="00520E1E">
        <w:rPr>
          <w:i/>
        </w:rPr>
        <w:t>ilicifolia</w:t>
      </w:r>
      <w:proofErr w:type="spellEnd"/>
      <w:r w:rsidRPr="00520E1E">
        <w:rPr>
          <w:i/>
        </w:rPr>
        <w:t xml:space="preserve"> and Melaleuca </w:t>
      </w:r>
      <w:proofErr w:type="spellStart"/>
      <w:r w:rsidRPr="00520E1E">
        <w:rPr>
          <w:i/>
        </w:rPr>
        <w:t>preissiana</w:t>
      </w:r>
      <w:proofErr w:type="spellEnd"/>
      <w:r w:rsidRPr="00520E1E">
        <w:rPr>
          <w:i/>
        </w:rPr>
        <w:t xml:space="preserve"> (</w:t>
      </w:r>
      <w:proofErr w:type="spellStart"/>
      <w:r w:rsidRPr="00520E1E">
        <w:rPr>
          <w:i/>
        </w:rPr>
        <w:t>Froend</w:t>
      </w:r>
      <w:proofErr w:type="spellEnd"/>
      <w:r w:rsidRPr="00520E1E">
        <w:rPr>
          <w:i/>
        </w:rPr>
        <w:t xml:space="preserve"> and Drake, 2006).</w:t>
      </w:r>
    </w:p>
    <w:p w14:paraId="31C8BCBB" w14:textId="77777777" w:rsidR="006D49BF" w:rsidRPr="00520E1E" w:rsidRDefault="006D49BF" w:rsidP="008C5F19">
      <w:pPr>
        <w:pStyle w:val="BodyText"/>
        <w:numPr>
          <w:ilvl w:val="0"/>
          <w:numId w:val="38"/>
        </w:numPr>
        <w:rPr>
          <w:i/>
        </w:rPr>
      </w:pPr>
      <w:proofErr w:type="gramStart"/>
      <w:r>
        <w:rPr>
          <w:i/>
        </w:rPr>
        <w:t>c</w:t>
      </w:r>
      <w:r w:rsidRPr="00520E1E">
        <w:rPr>
          <w:i/>
        </w:rPr>
        <w:t>ritical</w:t>
      </w:r>
      <w:proofErr w:type="gramEnd"/>
      <w:r w:rsidRPr="00520E1E">
        <w:rPr>
          <w:i/>
        </w:rPr>
        <w:t xml:space="preserve"> leaf water potentials below which dieback would be likely to occur (</w:t>
      </w:r>
      <w:proofErr w:type="spellStart"/>
      <w:r w:rsidRPr="00520E1E">
        <w:rPr>
          <w:i/>
        </w:rPr>
        <w:t>Froend</w:t>
      </w:r>
      <w:proofErr w:type="spellEnd"/>
      <w:r w:rsidRPr="00520E1E">
        <w:rPr>
          <w:i/>
        </w:rPr>
        <w:t xml:space="preserve"> and Drake 2006).</w:t>
      </w:r>
    </w:p>
    <w:p w14:paraId="31C8BCBC" w14:textId="77777777" w:rsidR="006D49BF" w:rsidRPr="00520E1E" w:rsidRDefault="006D49BF" w:rsidP="008C5F19">
      <w:pPr>
        <w:pStyle w:val="BodyText"/>
        <w:numPr>
          <w:ilvl w:val="0"/>
          <w:numId w:val="38"/>
        </w:numPr>
        <w:rPr>
          <w:i/>
        </w:rPr>
      </w:pPr>
      <w:proofErr w:type="gramStart"/>
      <w:r>
        <w:rPr>
          <w:i/>
        </w:rPr>
        <w:lastRenderedPageBreak/>
        <w:t>a</w:t>
      </w:r>
      <w:r w:rsidRPr="00520E1E">
        <w:rPr>
          <w:i/>
        </w:rPr>
        <w:t>t</w:t>
      </w:r>
      <w:proofErr w:type="gramEnd"/>
      <w:r w:rsidRPr="00520E1E">
        <w:rPr>
          <w:i/>
        </w:rPr>
        <w:t xml:space="preserve"> the surface</w:t>
      </w:r>
      <w:r>
        <w:rPr>
          <w:i/>
        </w:rPr>
        <w:t>,</w:t>
      </w:r>
      <w:r w:rsidRPr="00520E1E">
        <w:rPr>
          <w:i/>
        </w:rPr>
        <w:t xml:space="preserve"> root growth responded to seasonality and microclimate</w:t>
      </w:r>
      <w:r w:rsidR="00DB6F7F">
        <w:rPr>
          <w:i/>
        </w:rPr>
        <w:t xml:space="preserve"> whereas</w:t>
      </w:r>
      <w:r w:rsidRPr="00520E1E">
        <w:rPr>
          <w:i/>
        </w:rPr>
        <w:t xml:space="preserve"> at depth</w:t>
      </w:r>
      <w:r w:rsidR="00DB6F7F">
        <w:rPr>
          <w:i/>
        </w:rPr>
        <w:t>,</w:t>
      </w:r>
      <w:r w:rsidRPr="00520E1E">
        <w:rPr>
          <w:i/>
        </w:rPr>
        <w:t xml:space="preserve"> root growth continued all year and was dependent on soil aeration (e.g. rapid root elongation following a declining </w:t>
      </w:r>
      <w:proofErr w:type="spellStart"/>
      <w:r w:rsidR="00AB6B3E">
        <w:rPr>
          <w:i/>
        </w:rPr>
        <w:t>watertable</w:t>
      </w:r>
      <w:proofErr w:type="spellEnd"/>
      <w:r w:rsidRPr="00520E1E">
        <w:rPr>
          <w:i/>
        </w:rPr>
        <w:t xml:space="preserve"> and dieback as groundwater levels rose, </w:t>
      </w:r>
      <w:proofErr w:type="spellStart"/>
      <w:r w:rsidRPr="00520E1E">
        <w:rPr>
          <w:i/>
        </w:rPr>
        <w:t>Canham</w:t>
      </w:r>
      <w:proofErr w:type="spellEnd"/>
      <w:r w:rsidRPr="00520E1E">
        <w:rPr>
          <w:i/>
        </w:rPr>
        <w:t xml:space="preserve"> et al., 2012).</w:t>
      </w:r>
    </w:p>
    <w:p w14:paraId="31C8BCBD" w14:textId="77777777" w:rsidR="006D49BF" w:rsidRPr="00520E1E" w:rsidRDefault="00794E56" w:rsidP="008C5F19">
      <w:pPr>
        <w:pStyle w:val="BodyText"/>
        <w:numPr>
          <w:ilvl w:val="0"/>
          <w:numId w:val="38"/>
        </w:numPr>
        <w:rPr>
          <w:i/>
        </w:rPr>
      </w:pPr>
      <w:r>
        <w:rPr>
          <w:i/>
          <w:noProof/>
        </w:rPr>
        <w:drawing>
          <wp:anchor distT="0" distB="0" distL="114300" distR="114300" simplePos="0" relativeHeight="251886080" behindDoc="0" locked="0" layoutInCell="1" allowOverlap="1" wp14:anchorId="31C8C30A" wp14:editId="31C8C30B">
            <wp:simplePos x="0" y="0"/>
            <wp:positionH relativeFrom="margin">
              <wp:align>right</wp:align>
            </wp:positionH>
            <wp:positionV relativeFrom="paragraph">
              <wp:posOffset>711258</wp:posOffset>
            </wp:positionV>
            <wp:extent cx="2959100" cy="1980565"/>
            <wp:effectExtent l="0" t="0" r="0" b="635"/>
            <wp:wrapThrough wrapText="bothSides">
              <wp:wrapPolygon edited="0">
                <wp:start x="0" y="0"/>
                <wp:lineTo x="0" y="21399"/>
                <wp:lineTo x="21415" y="21399"/>
                <wp:lineTo x="21415" y="0"/>
                <wp:lineTo x="0" y="0"/>
              </wp:wrapPolygon>
            </wp:wrapThrough>
            <wp:docPr id="61442" name="Picture 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2" name="DSC_8185v1.jpg"/>
                    <pic:cNvPicPr/>
                  </pic:nvPicPr>
                  <pic:blipFill>
                    <a:blip r:embed="rId79" cstate="email">
                      <a:extLst>
                        <a:ext uri="{28A0092B-C50C-407E-A947-70E740481C1C}">
                          <a14:useLocalDpi xmlns:a14="http://schemas.microsoft.com/office/drawing/2010/main"/>
                        </a:ext>
                      </a:extLst>
                    </a:blip>
                    <a:stretch>
                      <a:fillRect/>
                    </a:stretch>
                  </pic:blipFill>
                  <pic:spPr>
                    <a:xfrm>
                      <a:off x="0" y="0"/>
                      <a:ext cx="2959100" cy="1980565"/>
                    </a:xfrm>
                    <a:prstGeom prst="rect">
                      <a:avLst/>
                    </a:prstGeom>
                  </pic:spPr>
                </pic:pic>
              </a:graphicData>
            </a:graphic>
          </wp:anchor>
        </w:drawing>
      </w:r>
      <w:proofErr w:type="gramStart"/>
      <w:r w:rsidR="006D49BF">
        <w:rPr>
          <w:i/>
        </w:rPr>
        <w:t>g</w:t>
      </w:r>
      <w:r w:rsidR="006D49BF" w:rsidRPr="00520E1E">
        <w:rPr>
          <w:i/>
        </w:rPr>
        <w:t>ro</w:t>
      </w:r>
      <w:r w:rsidR="006D49BF">
        <w:rPr>
          <w:i/>
        </w:rPr>
        <w:t>undwater</w:t>
      </w:r>
      <w:proofErr w:type="gramEnd"/>
      <w:r w:rsidR="006D49BF">
        <w:rPr>
          <w:i/>
        </w:rPr>
        <w:t xml:space="preserve"> level declines of 50 cm year</w:t>
      </w:r>
      <w:r w:rsidR="006D49BF" w:rsidRPr="00A302BD">
        <w:rPr>
          <w:i/>
          <w:vertAlign w:val="superscript"/>
        </w:rPr>
        <w:t>-1</w:t>
      </w:r>
      <w:r w:rsidR="006D49BF" w:rsidRPr="00520E1E">
        <w:rPr>
          <w:i/>
        </w:rPr>
        <w:t xml:space="preserve"> resulted in mass dieback of both mesic and xeric species</w:t>
      </w:r>
      <w:r w:rsidR="00DB6F7F">
        <w:rPr>
          <w:i/>
        </w:rPr>
        <w:t xml:space="preserve"> w</w:t>
      </w:r>
      <w:r w:rsidR="006D49BF" w:rsidRPr="00520E1E">
        <w:rPr>
          <w:i/>
        </w:rPr>
        <w:t xml:space="preserve">hereas at the </w:t>
      </w:r>
      <w:r w:rsidR="004575C3">
        <w:rPr>
          <w:i/>
        </w:rPr>
        <w:t>reference</w:t>
      </w:r>
      <w:r w:rsidR="006D49BF" w:rsidRPr="00520E1E">
        <w:rPr>
          <w:i/>
        </w:rPr>
        <w:t xml:space="preserve"> site</w:t>
      </w:r>
      <w:r w:rsidR="004575C3">
        <w:rPr>
          <w:i/>
        </w:rPr>
        <w:t>,</w:t>
      </w:r>
      <w:r w:rsidR="006D49BF" w:rsidRPr="00520E1E">
        <w:rPr>
          <w:i/>
        </w:rPr>
        <w:t xml:space="preserve"> groundwater level declines of 9 </w:t>
      </w:r>
      <w:r w:rsidR="006D49BF">
        <w:rPr>
          <w:i/>
        </w:rPr>
        <w:t>cm year</w:t>
      </w:r>
      <w:r w:rsidR="006D49BF" w:rsidRPr="00A302BD">
        <w:rPr>
          <w:i/>
          <w:vertAlign w:val="superscript"/>
        </w:rPr>
        <w:t>-1</w:t>
      </w:r>
      <w:r w:rsidR="006D49BF" w:rsidRPr="00520E1E">
        <w:rPr>
          <w:i/>
        </w:rPr>
        <w:t xml:space="preserve"> reduced the abundance of both mesic and xeric species but did not cause the replacement of mesic with xeric species (</w:t>
      </w:r>
      <w:proofErr w:type="spellStart"/>
      <w:r w:rsidR="006D49BF" w:rsidRPr="00520E1E">
        <w:rPr>
          <w:i/>
        </w:rPr>
        <w:t>Froend</w:t>
      </w:r>
      <w:proofErr w:type="spellEnd"/>
      <w:r w:rsidR="006D49BF" w:rsidRPr="00520E1E">
        <w:rPr>
          <w:i/>
        </w:rPr>
        <w:t xml:space="preserve"> and Sommer 2010).</w:t>
      </w:r>
    </w:p>
    <w:p w14:paraId="31C8BCBE" w14:textId="77777777" w:rsidR="006D49BF" w:rsidRPr="00520E1E" w:rsidRDefault="006D49BF" w:rsidP="008C5F19">
      <w:pPr>
        <w:pStyle w:val="BodyText"/>
        <w:numPr>
          <w:ilvl w:val="0"/>
          <w:numId w:val="38"/>
        </w:numPr>
        <w:rPr>
          <w:i/>
        </w:rPr>
      </w:pPr>
      <w:proofErr w:type="gramStart"/>
      <w:r w:rsidRPr="00520E1E">
        <w:rPr>
          <w:i/>
        </w:rPr>
        <w:t>reduced</w:t>
      </w:r>
      <w:proofErr w:type="gramEnd"/>
      <w:r w:rsidRPr="00520E1E">
        <w:rPr>
          <w:i/>
        </w:rPr>
        <w:t xml:space="preserve"> groundwater levels have caused inciden</w:t>
      </w:r>
      <w:r w:rsidR="00DB6F7F">
        <w:rPr>
          <w:i/>
        </w:rPr>
        <w:t>ts</w:t>
      </w:r>
      <w:r w:rsidRPr="00520E1E">
        <w:rPr>
          <w:i/>
        </w:rPr>
        <w:t xml:space="preserve"> of reduced groundwater quality, with salt water intrusion occurring in some coastal and estuarine parts of Gnangara Mound.</w:t>
      </w:r>
    </w:p>
    <w:p w14:paraId="31C8BCBF" w14:textId="77777777" w:rsidR="006D49BF" w:rsidRPr="00520E1E" w:rsidRDefault="006D49BF" w:rsidP="008C5F19">
      <w:pPr>
        <w:pStyle w:val="BodyText"/>
        <w:numPr>
          <w:ilvl w:val="0"/>
          <w:numId w:val="38"/>
        </w:numPr>
        <w:rPr>
          <w:i/>
        </w:rPr>
      </w:pPr>
      <w:proofErr w:type="gramStart"/>
      <w:r>
        <w:rPr>
          <w:i/>
        </w:rPr>
        <w:t>l</w:t>
      </w:r>
      <w:r w:rsidRPr="00520E1E">
        <w:rPr>
          <w:i/>
        </w:rPr>
        <w:t>owered</w:t>
      </w:r>
      <w:proofErr w:type="gramEnd"/>
      <w:r w:rsidRPr="00520E1E">
        <w:rPr>
          <w:i/>
        </w:rPr>
        <w:t xml:space="preserve"> groundwater levels have </w:t>
      </w:r>
      <w:r>
        <w:rPr>
          <w:i/>
        </w:rPr>
        <w:t>contributed to a</w:t>
      </w:r>
      <w:r w:rsidRPr="00520E1E">
        <w:rPr>
          <w:i/>
        </w:rPr>
        <w:t>cidification of some wetlands due to the exposure of acid sul</w:t>
      </w:r>
      <w:r w:rsidR="00DB6F7F">
        <w:rPr>
          <w:i/>
        </w:rPr>
        <w:t>ph</w:t>
      </w:r>
      <w:r w:rsidRPr="00520E1E">
        <w:rPr>
          <w:i/>
        </w:rPr>
        <w:t>ate soils. Artificial watering of the wetlands has reduced the impacts of acidification on macroinvertebrate communities (Sommer and Horwitz, 2009).</w:t>
      </w:r>
    </w:p>
    <w:p w14:paraId="31C8BCC0" w14:textId="77777777" w:rsidR="008F5A6B" w:rsidRDefault="008F5A6B" w:rsidP="00F3119C">
      <w:pPr>
        <w:pStyle w:val="Heading2"/>
      </w:pPr>
      <w:bookmarkStart w:id="71" w:name="_Toc509996488"/>
      <w:r>
        <w:t>Risk assessment</w:t>
      </w:r>
      <w:bookmarkEnd w:id="71"/>
    </w:p>
    <w:p w14:paraId="31C8BCC1" w14:textId="77777777" w:rsidR="008F5A6B" w:rsidRDefault="008F5A6B" w:rsidP="008F5A6B">
      <w:pPr>
        <w:pStyle w:val="BodyText"/>
        <w:rPr>
          <w:color w:val="auto"/>
        </w:rPr>
      </w:pPr>
      <w:r w:rsidRPr="000E2E8D">
        <w:rPr>
          <w:color w:val="auto"/>
        </w:rPr>
        <w:t>Risk assessments provide a mechanism to make an indicative valuation, via a threat</w:t>
      </w:r>
      <w:r>
        <w:rPr>
          <w:color w:val="auto"/>
        </w:rPr>
        <w:t xml:space="preserve"> </w:t>
      </w:r>
      <w:r w:rsidRPr="000E2E8D">
        <w:rPr>
          <w:color w:val="auto"/>
        </w:rPr>
        <w:t xml:space="preserve">analysis, of </w:t>
      </w:r>
      <w:r>
        <w:rPr>
          <w:color w:val="auto"/>
        </w:rPr>
        <w:t xml:space="preserve">how the current </w:t>
      </w:r>
      <w:r w:rsidR="00C931E3">
        <w:rPr>
          <w:color w:val="auto"/>
        </w:rPr>
        <w:t>GDEs</w:t>
      </w:r>
      <w:r>
        <w:rPr>
          <w:color w:val="auto"/>
        </w:rPr>
        <w:t xml:space="preserve"> might change if groundwater conditions change (Richardson et al., 2011)</w:t>
      </w:r>
      <w:r w:rsidRPr="000E2E8D">
        <w:rPr>
          <w:color w:val="auto"/>
        </w:rPr>
        <w:t>.</w:t>
      </w:r>
      <w:r w:rsidRPr="000E2E8D">
        <w:t xml:space="preserve"> </w:t>
      </w:r>
      <w:r>
        <w:t>To</w:t>
      </w:r>
      <w:r>
        <w:rPr>
          <w:color w:val="auto"/>
        </w:rPr>
        <w:t xml:space="preserve"> </w:t>
      </w:r>
      <w:r w:rsidR="00C52BAF">
        <w:rPr>
          <w:color w:val="auto"/>
        </w:rPr>
        <w:t xml:space="preserve">assess </w:t>
      </w:r>
      <w:r>
        <w:rPr>
          <w:color w:val="auto"/>
        </w:rPr>
        <w:t xml:space="preserve">the risk of </w:t>
      </w:r>
      <w:r w:rsidR="001A5682">
        <w:rPr>
          <w:color w:val="auto"/>
        </w:rPr>
        <w:t xml:space="preserve"> </w:t>
      </w:r>
      <w:r w:rsidR="00C52BAF">
        <w:rPr>
          <w:color w:val="auto"/>
        </w:rPr>
        <w:t>CSG</w:t>
      </w:r>
      <w:r>
        <w:rPr>
          <w:color w:val="auto"/>
        </w:rPr>
        <w:t xml:space="preserve"> </w:t>
      </w:r>
      <w:r w:rsidR="001A5682">
        <w:rPr>
          <w:color w:val="auto"/>
        </w:rPr>
        <w:t xml:space="preserve">and LCM </w:t>
      </w:r>
      <w:r>
        <w:rPr>
          <w:color w:val="auto"/>
        </w:rPr>
        <w:t xml:space="preserve">activities </w:t>
      </w:r>
      <w:r w:rsidR="00C52BAF">
        <w:rPr>
          <w:color w:val="auto"/>
        </w:rPr>
        <w:t xml:space="preserve">affecting </w:t>
      </w:r>
      <w:r>
        <w:rPr>
          <w:color w:val="auto"/>
        </w:rPr>
        <w:t>GDEs</w:t>
      </w:r>
      <w:r w:rsidRPr="000E2E8D">
        <w:rPr>
          <w:color w:val="auto"/>
        </w:rPr>
        <w:t xml:space="preserve">, </w:t>
      </w:r>
      <w:r w:rsidR="00C52BAF">
        <w:rPr>
          <w:color w:val="auto"/>
        </w:rPr>
        <w:t>risk assessments</w:t>
      </w:r>
      <w:r w:rsidRPr="000E2E8D">
        <w:rPr>
          <w:color w:val="auto"/>
        </w:rPr>
        <w:t xml:space="preserve"> </w:t>
      </w:r>
      <w:r>
        <w:rPr>
          <w:color w:val="auto"/>
        </w:rPr>
        <w:t xml:space="preserve">need to </w:t>
      </w:r>
      <w:r w:rsidRPr="000E2E8D">
        <w:rPr>
          <w:color w:val="auto"/>
        </w:rPr>
        <w:t xml:space="preserve">define relationships </w:t>
      </w:r>
      <w:r w:rsidR="00C52BAF">
        <w:rPr>
          <w:color w:val="auto"/>
        </w:rPr>
        <w:t xml:space="preserve">for each threat </w:t>
      </w:r>
      <w:r w:rsidRPr="000E2E8D">
        <w:rPr>
          <w:color w:val="auto"/>
        </w:rPr>
        <w:t>between (</w:t>
      </w:r>
      <w:proofErr w:type="spellStart"/>
      <w:r w:rsidRPr="000E2E8D">
        <w:rPr>
          <w:color w:val="auto"/>
        </w:rPr>
        <w:t>i</w:t>
      </w:r>
      <w:proofErr w:type="spellEnd"/>
      <w:r w:rsidRPr="000E2E8D">
        <w:rPr>
          <w:color w:val="auto"/>
        </w:rPr>
        <w:t xml:space="preserve">) the </w:t>
      </w:r>
      <w:r w:rsidR="006C7D1D">
        <w:rPr>
          <w:color w:val="auto"/>
        </w:rPr>
        <w:t>consequences</w:t>
      </w:r>
      <w:r w:rsidRPr="000E2E8D">
        <w:rPr>
          <w:color w:val="auto"/>
        </w:rPr>
        <w:t xml:space="preserve"> to the </w:t>
      </w:r>
      <w:r>
        <w:rPr>
          <w:color w:val="auto"/>
        </w:rPr>
        <w:t>eco</w:t>
      </w:r>
      <w:r w:rsidRPr="000E2E8D">
        <w:rPr>
          <w:color w:val="auto"/>
        </w:rPr>
        <w:t>system</w:t>
      </w:r>
      <w:r>
        <w:rPr>
          <w:color w:val="auto"/>
        </w:rPr>
        <w:t>,</w:t>
      </w:r>
      <w:r w:rsidRPr="000E2E8D">
        <w:rPr>
          <w:color w:val="auto"/>
        </w:rPr>
        <w:t xml:space="preserve"> </w:t>
      </w:r>
      <w:r>
        <w:rPr>
          <w:color w:val="auto"/>
        </w:rPr>
        <w:t xml:space="preserve">spatially and temporally, </w:t>
      </w:r>
      <w:r w:rsidRPr="000E2E8D">
        <w:rPr>
          <w:color w:val="auto"/>
        </w:rPr>
        <w:t>as</w:t>
      </w:r>
      <w:r>
        <w:rPr>
          <w:color w:val="auto"/>
        </w:rPr>
        <w:t xml:space="preserve"> </w:t>
      </w:r>
      <w:r w:rsidRPr="000E2E8D">
        <w:rPr>
          <w:color w:val="auto"/>
        </w:rPr>
        <w:t xml:space="preserve">a function of the severity of the threat; (ii) the likelihood of the threat </w:t>
      </w:r>
      <w:r>
        <w:rPr>
          <w:color w:val="auto"/>
        </w:rPr>
        <w:t>affecting each GDE</w:t>
      </w:r>
      <w:r w:rsidRPr="000E2E8D">
        <w:rPr>
          <w:color w:val="auto"/>
        </w:rPr>
        <w:t xml:space="preserve">; </w:t>
      </w:r>
      <w:r>
        <w:rPr>
          <w:color w:val="auto"/>
        </w:rPr>
        <w:t xml:space="preserve">and </w:t>
      </w:r>
      <w:r w:rsidRPr="000E2E8D">
        <w:rPr>
          <w:color w:val="auto"/>
        </w:rPr>
        <w:t xml:space="preserve">(iii) </w:t>
      </w:r>
      <w:r>
        <w:rPr>
          <w:color w:val="auto"/>
        </w:rPr>
        <w:t>the s</w:t>
      </w:r>
      <w:r w:rsidRPr="000E2E8D">
        <w:rPr>
          <w:color w:val="auto"/>
        </w:rPr>
        <w:t>ignificance of impacts</w:t>
      </w:r>
      <w:r>
        <w:rPr>
          <w:color w:val="auto"/>
        </w:rPr>
        <w:t xml:space="preserve"> in</w:t>
      </w:r>
      <w:r w:rsidRPr="000E2E8D">
        <w:rPr>
          <w:color w:val="auto"/>
        </w:rPr>
        <w:t xml:space="preserve"> a regional/state/national context</w:t>
      </w:r>
      <w:r>
        <w:rPr>
          <w:color w:val="auto"/>
        </w:rPr>
        <w:t>.</w:t>
      </w:r>
    </w:p>
    <w:p w14:paraId="31C8BCC2" w14:textId="77777777" w:rsidR="008F5A6B" w:rsidRDefault="008F5A6B" w:rsidP="008F5A6B">
      <w:pPr>
        <w:pStyle w:val="BodyText"/>
        <w:rPr>
          <w:color w:val="auto"/>
        </w:rPr>
      </w:pPr>
      <w:r>
        <w:rPr>
          <w:color w:val="auto"/>
        </w:rPr>
        <w:t xml:space="preserve">Serov et al. (2012) present </w:t>
      </w:r>
      <w:r w:rsidR="001F7D79">
        <w:rPr>
          <w:color w:val="auto"/>
        </w:rPr>
        <w:t>a risk assessment approach that</w:t>
      </w:r>
      <w:r w:rsidR="00C52BAF">
        <w:rPr>
          <w:color w:val="auto"/>
        </w:rPr>
        <w:t>:</w:t>
      </w:r>
    </w:p>
    <w:p w14:paraId="31C8BCC3" w14:textId="77777777" w:rsidR="008F5A6B" w:rsidRDefault="006C7D1D" w:rsidP="00F1192F">
      <w:pPr>
        <w:pStyle w:val="BodyText"/>
        <w:numPr>
          <w:ilvl w:val="0"/>
          <w:numId w:val="26"/>
        </w:numPr>
        <w:rPr>
          <w:color w:val="auto"/>
        </w:rPr>
      </w:pPr>
      <w:r>
        <w:rPr>
          <w:color w:val="auto"/>
        </w:rPr>
        <w:t>i</w:t>
      </w:r>
      <w:r w:rsidR="008F5A6B">
        <w:rPr>
          <w:color w:val="auto"/>
        </w:rPr>
        <w:t>dentifies</w:t>
      </w:r>
      <w:r w:rsidR="008F5A6B" w:rsidRPr="00E702EF">
        <w:rPr>
          <w:color w:val="auto"/>
        </w:rPr>
        <w:t xml:space="preserve"> GDE types and their inferred </w:t>
      </w:r>
      <w:r w:rsidR="00C52BAF">
        <w:rPr>
          <w:color w:val="auto"/>
        </w:rPr>
        <w:t xml:space="preserve">degree of </w:t>
      </w:r>
      <w:r w:rsidR="008F5A6B" w:rsidRPr="00E702EF">
        <w:rPr>
          <w:color w:val="auto"/>
        </w:rPr>
        <w:t>dependenc</w:t>
      </w:r>
      <w:r w:rsidR="00C52BAF">
        <w:rPr>
          <w:color w:val="auto"/>
        </w:rPr>
        <w:t>e</w:t>
      </w:r>
      <w:r w:rsidR="008F5A6B" w:rsidRPr="00E702EF">
        <w:rPr>
          <w:color w:val="auto"/>
        </w:rPr>
        <w:t xml:space="preserve"> on groundwater </w:t>
      </w:r>
    </w:p>
    <w:p w14:paraId="31C8BCC4" w14:textId="77777777" w:rsidR="008F5A6B" w:rsidRPr="00E702EF" w:rsidRDefault="006C7D1D" w:rsidP="00F1192F">
      <w:pPr>
        <w:pStyle w:val="BodyText"/>
        <w:numPr>
          <w:ilvl w:val="0"/>
          <w:numId w:val="26"/>
        </w:numPr>
        <w:rPr>
          <w:color w:val="auto"/>
        </w:rPr>
      </w:pPr>
      <w:r>
        <w:rPr>
          <w:color w:val="auto"/>
        </w:rPr>
        <w:t>d</w:t>
      </w:r>
      <w:r w:rsidR="008F5A6B" w:rsidRPr="00E702EF">
        <w:rPr>
          <w:color w:val="auto"/>
        </w:rPr>
        <w:t>etermin</w:t>
      </w:r>
      <w:r w:rsidR="008F5A6B">
        <w:rPr>
          <w:color w:val="auto"/>
        </w:rPr>
        <w:t>es</w:t>
      </w:r>
      <w:r w:rsidR="008F5A6B" w:rsidRPr="00E702EF">
        <w:rPr>
          <w:color w:val="auto"/>
        </w:rPr>
        <w:t xml:space="preserve"> ecological value of the </w:t>
      </w:r>
      <w:r w:rsidR="008F5A6B">
        <w:rPr>
          <w:color w:val="auto"/>
        </w:rPr>
        <w:t>aquifer and its associated GDEs</w:t>
      </w:r>
    </w:p>
    <w:p w14:paraId="31C8BCC5" w14:textId="77777777" w:rsidR="008F5A6B" w:rsidRPr="00E702EF" w:rsidRDefault="006C7D1D" w:rsidP="00F1192F">
      <w:pPr>
        <w:pStyle w:val="BodyText"/>
        <w:numPr>
          <w:ilvl w:val="0"/>
          <w:numId w:val="26"/>
        </w:numPr>
        <w:rPr>
          <w:color w:val="auto"/>
        </w:rPr>
      </w:pPr>
      <w:r>
        <w:rPr>
          <w:color w:val="auto"/>
        </w:rPr>
        <w:t>d</w:t>
      </w:r>
      <w:r w:rsidR="008F5A6B" w:rsidRPr="00E702EF">
        <w:rPr>
          <w:color w:val="auto"/>
        </w:rPr>
        <w:t>etermin</w:t>
      </w:r>
      <w:r w:rsidR="008F5A6B">
        <w:rPr>
          <w:color w:val="auto"/>
        </w:rPr>
        <w:t xml:space="preserve">es </w:t>
      </w:r>
      <w:r w:rsidR="00C52BAF">
        <w:rPr>
          <w:color w:val="auto"/>
        </w:rPr>
        <w:t xml:space="preserve">likely </w:t>
      </w:r>
      <w:r w:rsidR="008F5A6B" w:rsidRPr="00E702EF">
        <w:rPr>
          <w:color w:val="auto"/>
        </w:rPr>
        <w:t xml:space="preserve">impact of an activity </w:t>
      </w:r>
      <w:r w:rsidR="00C52BAF">
        <w:rPr>
          <w:color w:val="auto"/>
        </w:rPr>
        <w:t>on</w:t>
      </w:r>
      <w:r w:rsidR="00C52BAF" w:rsidRPr="00E702EF">
        <w:rPr>
          <w:color w:val="auto"/>
        </w:rPr>
        <w:t xml:space="preserve"> </w:t>
      </w:r>
      <w:r w:rsidR="008F5A6B" w:rsidRPr="00E702EF">
        <w:rPr>
          <w:color w:val="auto"/>
        </w:rPr>
        <w:t>th</w:t>
      </w:r>
      <w:r w:rsidR="008F5A6B">
        <w:rPr>
          <w:color w:val="auto"/>
        </w:rPr>
        <w:t>e aquifer and/or identified GDE</w:t>
      </w:r>
      <w:r w:rsidR="00C52BAF">
        <w:rPr>
          <w:color w:val="auto"/>
        </w:rPr>
        <w:t>s</w:t>
      </w:r>
    </w:p>
    <w:p w14:paraId="31C8BCC6" w14:textId="77777777" w:rsidR="008F5A6B" w:rsidRPr="00597496" w:rsidRDefault="006C7D1D" w:rsidP="00F1192F">
      <w:pPr>
        <w:pStyle w:val="BodyText"/>
        <w:numPr>
          <w:ilvl w:val="0"/>
          <w:numId w:val="26"/>
        </w:numPr>
        <w:rPr>
          <w:color w:val="auto"/>
        </w:rPr>
      </w:pPr>
      <w:r>
        <w:rPr>
          <w:color w:val="auto"/>
        </w:rPr>
        <w:t>d</w:t>
      </w:r>
      <w:r w:rsidR="008F5A6B">
        <w:rPr>
          <w:color w:val="auto"/>
        </w:rPr>
        <w:t>e</w:t>
      </w:r>
      <w:r w:rsidR="008F5A6B" w:rsidRPr="00E702EF">
        <w:rPr>
          <w:color w:val="auto"/>
        </w:rPr>
        <w:t>termin</w:t>
      </w:r>
      <w:r w:rsidR="008F5A6B">
        <w:rPr>
          <w:color w:val="auto"/>
        </w:rPr>
        <w:t>es</w:t>
      </w:r>
      <w:r w:rsidR="008F5A6B" w:rsidRPr="00E702EF">
        <w:rPr>
          <w:color w:val="auto"/>
        </w:rPr>
        <w:t xml:space="preserve"> the </w:t>
      </w:r>
      <w:r w:rsidR="008F5A6B" w:rsidRPr="00597496">
        <w:rPr>
          <w:color w:val="auto"/>
        </w:rPr>
        <w:t>level of potential risk from an activity</w:t>
      </w:r>
    </w:p>
    <w:p w14:paraId="31C8BCC7" w14:textId="77777777" w:rsidR="008F5A6B" w:rsidRPr="00597496" w:rsidRDefault="006C7D1D" w:rsidP="00F1192F">
      <w:pPr>
        <w:pStyle w:val="BodyText"/>
        <w:numPr>
          <w:ilvl w:val="0"/>
          <w:numId w:val="26"/>
        </w:numPr>
        <w:rPr>
          <w:color w:val="auto"/>
        </w:rPr>
      </w:pPr>
      <w:proofErr w:type="gramStart"/>
      <w:r>
        <w:rPr>
          <w:color w:val="auto"/>
        </w:rPr>
        <w:t>d</w:t>
      </w:r>
      <w:r w:rsidR="008F5A6B" w:rsidRPr="00597496">
        <w:rPr>
          <w:color w:val="auto"/>
        </w:rPr>
        <w:t>evelops</w:t>
      </w:r>
      <w:proofErr w:type="gramEnd"/>
      <w:r w:rsidR="008F5A6B" w:rsidRPr="00597496">
        <w:rPr>
          <w:color w:val="auto"/>
        </w:rPr>
        <w:t xml:space="preserve"> management strategies through a risk matrix approach (</w:t>
      </w:r>
      <w:r w:rsidR="00AE2FA2">
        <w:rPr>
          <w:color w:val="auto"/>
          <w:highlight w:val="yellow"/>
        </w:rPr>
        <w:fldChar w:fldCharType="begin"/>
      </w:r>
      <w:r w:rsidR="00AE2FA2">
        <w:rPr>
          <w:color w:val="auto"/>
        </w:rPr>
        <w:instrText xml:space="preserve"> REF _Ref509778364 \h </w:instrText>
      </w:r>
      <w:r w:rsidR="00AE2FA2">
        <w:rPr>
          <w:color w:val="auto"/>
          <w:highlight w:val="yellow"/>
        </w:rPr>
      </w:r>
      <w:r w:rsidR="00AE2FA2">
        <w:rPr>
          <w:color w:val="auto"/>
          <w:highlight w:val="yellow"/>
        </w:rPr>
        <w:fldChar w:fldCharType="separate"/>
      </w:r>
      <w:r w:rsidR="00E96B43">
        <w:t xml:space="preserve">App Table </w:t>
      </w:r>
      <w:r w:rsidR="00E96B43">
        <w:rPr>
          <w:noProof/>
        </w:rPr>
        <w:t>10</w:t>
      </w:r>
      <w:r w:rsidR="00AE2FA2">
        <w:rPr>
          <w:color w:val="auto"/>
          <w:highlight w:val="yellow"/>
        </w:rPr>
        <w:fldChar w:fldCharType="end"/>
      </w:r>
      <w:r w:rsidR="008F5A6B" w:rsidRPr="00597496">
        <w:rPr>
          <w:color w:val="auto"/>
        </w:rPr>
        <w:t>)</w:t>
      </w:r>
      <w:r w:rsidR="008F5A6B">
        <w:rPr>
          <w:color w:val="auto"/>
        </w:rPr>
        <w:t>.</w:t>
      </w:r>
    </w:p>
    <w:p w14:paraId="31C8BCC8" w14:textId="77777777" w:rsidR="008F5A6B" w:rsidRDefault="008F5A6B" w:rsidP="008F5A6B">
      <w:pPr>
        <w:pStyle w:val="BodyText"/>
        <w:rPr>
          <w:color w:val="auto"/>
        </w:rPr>
      </w:pPr>
      <w:r>
        <w:rPr>
          <w:color w:val="auto"/>
        </w:rPr>
        <w:t xml:space="preserve">Where there are multiple threats, Richardson et al. (2011) suggest a risk analysis using a Bayesian Belief Network (BBN; e.g. Hart and </w:t>
      </w:r>
      <w:proofErr w:type="spellStart"/>
      <w:r>
        <w:rPr>
          <w:color w:val="auto"/>
        </w:rPr>
        <w:t>Pollino</w:t>
      </w:r>
      <w:proofErr w:type="spellEnd"/>
      <w:r w:rsidR="00C52BAF">
        <w:rPr>
          <w:color w:val="auto"/>
        </w:rPr>
        <w:t>,</w:t>
      </w:r>
      <w:r>
        <w:rPr>
          <w:color w:val="auto"/>
        </w:rPr>
        <w:t xml:space="preserve"> 2009).</w:t>
      </w:r>
    </w:p>
    <w:p w14:paraId="31C8BCC9" w14:textId="77777777" w:rsidR="008F5A6B" w:rsidRDefault="008F5A6B" w:rsidP="008F5A6B">
      <w:pPr>
        <w:pStyle w:val="BodyText"/>
        <w:rPr>
          <w:color w:val="auto"/>
        </w:rPr>
      </w:pPr>
      <w:r w:rsidRPr="00597496">
        <w:rPr>
          <w:color w:val="auto"/>
        </w:rPr>
        <w:t xml:space="preserve">By understanding the ecological value and vulnerability of GDEs to </w:t>
      </w:r>
      <w:r w:rsidR="00C52BAF">
        <w:rPr>
          <w:color w:val="auto"/>
        </w:rPr>
        <w:t xml:space="preserve">activities affecting </w:t>
      </w:r>
      <w:r w:rsidRPr="00597496">
        <w:rPr>
          <w:color w:val="auto"/>
        </w:rPr>
        <w:t xml:space="preserve">groundwater, GDEs with high ecological value </w:t>
      </w:r>
      <w:r w:rsidR="00C52BAF">
        <w:rPr>
          <w:color w:val="auto"/>
        </w:rPr>
        <w:t>and/</w:t>
      </w:r>
      <w:r w:rsidRPr="00597496">
        <w:rPr>
          <w:color w:val="auto"/>
        </w:rPr>
        <w:t xml:space="preserve">or subject to high risk can be identified </w:t>
      </w:r>
      <w:r w:rsidR="00C52BAF">
        <w:rPr>
          <w:color w:val="auto"/>
        </w:rPr>
        <w:t>so that</w:t>
      </w:r>
      <w:r w:rsidR="00C52BAF" w:rsidRPr="00597496">
        <w:rPr>
          <w:color w:val="auto"/>
        </w:rPr>
        <w:t xml:space="preserve"> </w:t>
      </w:r>
      <w:r w:rsidRPr="00597496">
        <w:rPr>
          <w:color w:val="auto"/>
        </w:rPr>
        <w:t xml:space="preserve">management actions can be prioritised </w:t>
      </w:r>
      <w:r w:rsidR="00C52BAF">
        <w:rPr>
          <w:color w:val="auto"/>
        </w:rPr>
        <w:t>to minimise</w:t>
      </w:r>
      <w:r w:rsidRPr="00597496">
        <w:rPr>
          <w:color w:val="auto"/>
        </w:rPr>
        <w:t xml:space="preserve"> risk while monitoring programs seek to reduce uncertainty (Rohde et al., 2017</w:t>
      </w:r>
      <w:r w:rsidR="00AE2FA2">
        <w:rPr>
          <w:color w:val="auto"/>
        </w:rPr>
        <w:t xml:space="preserve">; </w:t>
      </w:r>
      <w:r w:rsidR="00AE2FA2">
        <w:rPr>
          <w:color w:val="auto"/>
        </w:rPr>
        <w:fldChar w:fldCharType="begin"/>
      </w:r>
      <w:r w:rsidR="00AE2FA2">
        <w:rPr>
          <w:color w:val="auto"/>
        </w:rPr>
        <w:instrText xml:space="preserve"> REF _Ref509778387 \h </w:instrText>
      </w:r>
      <w:r w:rsidR="00AE2FA2">
        <w:rPr>
          <w:color w:val="auto"/>
        </w:rPr>
      </w:r>
      <w:r w:rsidR="00AE2FA2">
        <w:rPr>
          <w:color w:val="auto"/>
        </w:rPr>
        <w:fldChar w:fldCharType="separate"/>
      </w:r>
      <w:r w:rsidR="00E96B43">
        <w:t xml:space="preserve">App Table </w:t>
      </w:r>
      <w:r w:rsidR="00E96B43">
        <w:rPr>
          <w:noProof/>
        </w:rPr>
        <w:t>11</w:t>
      </w:r>
      <w:r w:rsidR="00AE2FA2">
        <w:rPr>
          <w:color w:val="auto"/>
        </w:rPr>
        <w:fldChar w:fldCharType="end"/>
      </w:r>
      <w:r w:rsidRPr="00597496">
        <w:rPr>
          <w:color w:val="auto"/>
        </w:rPr>
        <w:t xml:space="preserve">). Monitoring programs may take years to </w:t>
      </w:r>
      <w:r w:rsidR="00C52BAF">
        <w:rPr>
          <w:color w:val="auto"/>
        </w:rPr>
        <w:t xml:space="preserve">produce sufficient data to </w:t>
      </w:r>
      <w:r w:rsidRPr="00597496">
        <w:rPr>
          <w:color w:val="auto"/>
        </w:rPr>
        <w:t xml:space="preserve">reduce uncertainty </w:t>
      </w:r>
      <w:r w:rsidR="00C52BAF">
        <w:rPr>
          <w:color w:val="auto"/>
        </w:rPr>
        <w:t>about</w:t>
      </w:r>
      <w:r w:rsidR="00C52BAF" w:rsidRPr="00597496">
        <w:rPr>
          <w:color w:val="auto"/>
        </w:rPr>
        <w:t xml:space="preserve"> </w:t>
      </w:r>
      <w:r w:rsidRPr="00597496">
        <w:rPr>
          <w:color w:val="auto"/>
        </w:rPr>
        <w:t xml:space="preserve">how dependent </w:t>
      </w:r>
      <w:r w:rsidR="00C52BAF">
        <w:rPr>
          <w:color w:val="auto"/>
        </w:rPr>
        <w:t>GDE</w:t>
      </w:r>
      <w:r w:rsidR="00C52BAF" w:rsidRPr="00597496">
        <w:rPr>
          <w:color w:val="auto"/>
        </w:rPr>
        <w:t xml:space="preserve">s </w:t>
      </w:r>
      <w:r w:rsidRPr="00597496">
        <w:rPr>
          <w:color w:val="auto"/>
        </w:rPr>
        <w:t>are on groundwater or</w:t>
      </w:r>
      <w:r w:rsidR="00C52BAF">
        <w:rPr>
          <w:color w:val="auto"/>
        </w:rPr>
        <w:t xml:space="preserve"> to</w:t>
      </w:r>
      <w:r w:rsidRPr="00597496">
        <w:rPr>
          <w:color w:val="auto"/>
        </w:rPr>
        <w:t xml:space="preserve"> quantify what the </w:t>
      </w:r>
      <w:r w:rsidR="00C52BAF">
        <w:rPr>
          <w:color w:val="auto"/>
        </w:rPr>
        <w:t xml:space="preserve">relevant </w:t>
      </w:r>
      <w:r w:rsidRPr="00597496">
        <w:rPr>
          <w:color w:val="auto"/>
        </w:rPr>
        <w:t>thresholds of change in groundwater condition are</w:t>
      </w:r>
      <w:r w:rsidR="005A3392">
        <w:rPr>
          <w:color w:val="auto"/>
        </w:rPr>
        <w:t xml:space="preserve"> that will affect GDEs</w:t>
      </w:r>
      <w:r w:rsidRPr="00597496">
        <w:rPr>
          <w:color w:val="auto"/>
        </w:rPr>
        <w:t xml:space="preserve">. Incorporating a risk assessment into an adaptive management framework can help prioritise work, reduce risk and avoid adverse impacts on GDEs despite the uncertainties (Rohde et al., 2017). However, it is likely </w:t>
      </w:r>
      <w:r w:rsidR="005A3392">
        <w:rPr>
          <w:color w:val="auto"/>
        </w:rPr>
        <w:t xml:space="preserve">that </w:t>
      </w:r>
      <w:r w:rsidRPr="00597496">
        <w:rPr>
          <w:color w:val="auto"/>
        </w:rPr>
        <w:t xml:space="preserve">more targeted investigations will still be required to better understand the relationships between ecosystem condition and groundwater availability using more advanced methods (e.g. </w:t>
      </w:r>
      <w:r w:rsidR="006C7D1D">
        <w:rPr>
          <w:color w:val="auto"/>
        </w:rPr>
        <w:fldChar w:fldCharType="begin"/>
      </w:r>
      <w:r w:rsidR="006C7D1D">
        <w:rPr>
          <w:color w:val="auto"/>
        </w:rPr>
        <w:instrText xml:space="preserve"> REF _Ref509649878 \h </w:instrText>
      </w:r>
      <w:r w:rsidR="006C7D1D">
        <w:rPr>
          <w:color w:val="auto"/>
        </w:rPr>
      </w:r>
      <w:r w:rsidR="006C7D1D">
        <w:rPr>
          <w:color w:val="auto"/>
        </w:rPr>
        <w:fldChar w:fldCharType="separate"/>
      </w:r>
      <w:r w:rsidR="00E96B43">
        <w:t xml:space="preserve">Table </w:t>
      </w:r>
      <w:r w:rsidR="00E96B43">
        <w:rPr>
          <w:noProof/>
        </w:rPr>
        <w:t>2</w:t>
      </w:r>
      <w:r w:rsidR="006C7D1D">
        <w:rPr>
          <w:color w:val="auto"/>
        </w:rPr>
        <w:fldChar w:fldCharType="end"/>
      </w:r>
      <w:r w:rsidR="006C7D1D">
        <w:rPr>
          <w:color w:val="auto"/>
        </w:rPr>
        <w:t xml:space="preserve"> and </w:t>
      </w:r>
      <w:r>
        <w:rPr>
          <w:color w:val="auto"/>
        </w:rPr>
        <w:fldChar w:fldCharType="begin"/>
      </w:r>
      <w:r>
        <w:rPr>
          <w:color w:val="auto"/>
        </w:rPr>
        <w:instrText xml:space="preserve"> REF _Ref507707870 \h </w:instrText>
      </w:r>
      <w:r>
        <w:rPr>
          <w:color w:val="auto"/>
        </w:rPr>
      </w:r>
      <w:r>
        <w:rPr>
          <w:color w:val="auto"/>
        </w:rPr>
        <w:fldChar w:fldCharType="separate"/>
      </w:r>
      <w:r w:rsidR="00E96B43">
        <w:t xml:space="preserve">App Table </w:t>
      </w:r>
      <w:r w:rsidR="00E96B43">
        <w:rPr>
          <w:noProof/>
        </w:rPr>
        <w:t>2</w:t>
      </w:r>
      <w:r>
        <w:rPr>
          <w:color w:val="auto"/>
        </w:rPr>
        <w:fldChar w:fldCharType="end"/>
      </w:r>
      <w:r w:rsidRPr="00597496">
        <w:rPr>
          <w:color w:val="auto"/>
        </w:rPr>
        <w:t>, Rohde et al., 2017).</w:t>
      </w:r>
    </w:p>
    <w:p w14:paraId="31C8BCCA" w14:textId="77777777" w:rsidR="00301D7B" w:rsidRDefault="00301D7B" w:rsidP="008F5A6B">
      <w:pPr>
        <w:pStyle w:val="BodyText"/>
        <w:rPr>
          <w:color w:val="auto"/>
        </w:rPr>
      </w:pPr>
    </w:p>
    <w:p w14:paraId="31C8BCCB" w14:textId="77777777" w:rsidR="008451D3" w:rsidRPr="00C61E95" w:rsidRDefault="005C5D69" w:rsidP="00C61E95">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lastRenderedPageBreak/>
        <w:t xml:space="preserve">RECOMMENDATION: Risk assessment must be undertaken </w:t>
      </w:r>
      <w:r w:rsidR="00BB1DD0">
        <w:t>in all EIA</w:t>
      </w:r>
      <w:r w:rsidR="005A3392">
        <w:t xml:space="preserve">s </w:t>
      </w:r>
      <w:r>
        <w:t>to identify GDEs with high</w:t>
      </w:r>
      <w:r w:rsidR="005A3392">
        <w:t xml:space="preserve"> or </w:t>
      </w:r>
      <w:r>
        <w:t xml:space="preserve">medium ecological value </w:t>
      </w:r>
      <w:r w:rsidR="005A3392">
        <w:t>and/</w:t>
      </w:r>
      <w:r>
        <w:t xml:space="preserve">or </w:t>
      </w:r>
      <w:r w:rsidR="005A3392">
        <w:t xml:space="preserve">at </w:t>
      </w:r>
      <w:r>
        <w:t xml:space="preserve">high </w:t>
      </w:r>
      <w:r w:rsidR="005A3392">
        <w:t xml:space="preserve">or medium </w:t>
      </w:r>
      <w:r>
        <w:t xml:space="preserve">risk </w:t>
      </w:r>
      <w:r w:rsidR="005A3392">
        <w:t xml:space="preserve">from </w:t>
      </w:r>
      <w:r>
        <w:t>impact</w:t>
      </w:r>
      <w:r w:rsidR="005A3392">
        <w:t>s of CSG and LCM activities</w:t>
      </w:r>
      <w:r>
        <w:t xml:space="preserve"> so </w:t>
      </w:r>
      <w:r w:rsidR="005A3392">
        <w:t xml:space="preserve">that </w:t>
      </w:r>
      <w:r>
        <w:t xml:space="preserve">management actions can be prioritised to reduce risks. </w:t>
      </w:r>
      <w:r w:rsidRPr="005C5D69">
        <w:rPr>
          <w:b/>
        </w:rPr>
        <w:t>All</w:t>
      </w:r>
      <w:r>
        <w:t xml:space="preserve"> GDEs must be protected</w:t>
      </w:r>
      <w:r w:rsidR="005A3392">
        <w:t>,</w:t>
      </w:r>
      <w:r w:rsidR="00C61E95">
        <w:t xml:space="preserve"> however.</w:t>
      </w:r>
    </w:p>
    <w:p w14:paraId="31C8BCCC" w14:textId="77777777" w:rsidR="00C61E95" w:rsidRDefault="00C61E95" w:rsidP="00F3119C">
      <w:pPr>
        <w:pStyle w:val="Heading2"/>
      </w:pPr>
      <w:bookmarkStart w:id="72" w:name="_Toc509996489"/>
      <w:r>
        <w:t>Gaps in current GDE assessments</w:t>
      </w:r>
      <w:bookmarkEnd w:id="72"/>
    </w:p>
    <w:p w14:paraId="31C8BCCD" w14:textId="77777777" w:rsidR="008451D3" w:rsidRPr="00D76DFA" w:rsidRDefault="008451D3" w:rsidP="00244432">
      <w:pPr>
        <w:pStyle w:val="BodyText"/>
      </w:pPr>
      <w:r w:rsidRPr="008451D3">
        <w:t xml:space="preserve">The inclusion of GDEs in impact </w:t>
      </w:r>
      <w:r w:rsidRPr="00D76DFA">
        <w:t>assessment</w:t>
      </w:r>
      <w:r w:rsidR="00950EE3" w:rsidRPr="00D76DFA">
        <w:t>s</w:t>
      </w:r>
      <w:r w:rsidRPr="00D76DFA">
        <w:t xml:space="preserve"> has been a requirement in Queensland and New South Wales for less than a decade, so there is still some uncertainty among consultants about how GDE assessments should be </w:t>
      </w:r>
      <w:r w:rsidR="00AD07E0">
        <w:t>undertaken</w:t>
      </w:r>
      <w:r w:rsidRPr="00D76DFA">
        <w:t>. This has led to gaps in the assessment process, which in turn potentially results in</w:t>
      </w:r>
      <w:r w:rsidR="00AD07E0">
        <w:t xml:space="preserve"> underestimating</w:t>
      </w:r>
      <w:r w:rsidRPr="00D76DFA">
        <w:t xml:space="preserve"> impacts </w:t>
      </w:r>
      <w:r w:rsidR="00AD07E0">
        <w:t>of CSG and LCM activities on</w:t>
      </w:r>
      <w:r w:rsidRPr="00D76DFA">
        <w:t xml:space="preserve"> GDEs</w:t>
      </w:r>
      <w:r w:rsidR="00AD07E0">
        <w:t xml:space="preserve"> in the project impact area</w:t>
      </w:r>
      <w:r w:rsidRPr="00D76DFA">
        <w:t>. Example</w:t>
      </w:r>
      <w:r w:rsidR="00E35A71">
        <w:t>s of these gaps include</w:t>
      </w:r>
      <w:r w:rsidR="00AD07E0">
        <w:t>:</w:t>
      </w:r>
    </w:p>
    <w:p w14:paraId="31C8BCCE" w14:textId="77777777" w:rsidR="00D74414" w:rsidRDefault="007A7330" w:rsidP="00F1192F">
      <w:pPr>
        <w:pStyle w:val="BodyText"/>
        <w:numPr>
          <w:ilvl w:val="0"/>
          <w:numId w:val="34"/>
        </w:numPr>
      </w:pPr>
      <w:r>
        <w:t>use of online data</w:t>
      </w:r>
      <w:r w:rsidR="00703578">
        <w:t>base</w:t>
      </w:r>
      <w:r w:rsidR="00AD07E0">
        <w:t>s</w:t>
      </w:r>
      <w:r w:rsidR="00703578">
        <w:t xml:space="preserve"> only rather than incorporat</w:t>
      </w:r>
      <w:r w:rsidR="00AD07E0">
        <w:t>ing</w:t>
      </w:r>
      <w:r w:rsidR="00703578">
        <w:t xml:space="preserve"> field survey and detailed desktop studies</w:t>
      </w:r>
    </w:p>
    <w:p w14:paraId="31C8BCCF" w14:textId="77777777" w:rsidR="008451D3" w:rsidRPr="008451D3" w:rsidRDefault="00137979" w:rsidP="00F1192F">
      <w:pPr>
        <w:pStyle w:val="BodyText"/>
        <w:numPr>
          <w:ilvl w:val="0"/>
          <w:numId w:val="34"/>
        </w:numPr>
      </w:pPr>
      <w:r>
        <w:rPr>
          <w:noProof/>
        </w:rPr>
        <w:drawing>
          <wp:anchor distT="0" distB="0" distL="114300" distR="114300" simplePos="0" relativeHeight="251826688" behindDoc="0" locked="0" layoutInCell="1" allowOverlap="1" wp14:anchorId="31C8C30C" wp14:editId="31C8C30D">
            <wp:simplePos x="0" y="0"/>
            <wp:positionH relativeFrom="margin">
              <wp:align>right</wp:align>
            </wp:positionH>
            <wp:positionV relativeFrom="paragraph">
              <wp:posOffset>435322</wp:posOffset>
            </wp:positionV>
            <wp:extent cx="2329815" cy="1547495"/>
            <wp:effectExtent l="0" t="0" r="0" b="0"/>
            <wp:wrapThrough wrapText="bothSides">
              <wp:wrapPolygon edited="0">
                <wp:start x="0" y="0"/>
                <wp:lineTo x="0" y="21272"/>
                <wp:lineTo x="21370" y="21272"/>
                <wp:lineTo x="21370" y="0"/>
                <wp:lineTo x="0" y="0"/>
              </wp:wrapPolygon>
            </wp:wrapThrough>
            <wp:docPr id="84993" name="Picture 1" descr="C:\Users\doo022\Pictures\IPod_Photos\DSC_9957_HD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3" name="Picture 1" descr="C:\Users\doo022\Pictures\IPod_Photos\DSC_9957_HDRv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329815" cy="1547495"/>
                    </a:xfrm>
                    <a:prstGeom prst="rect">
                      <a:avLst/>
                    </a:prstGeom>
                    <a:noFill/>
                  </pic:spPr>
                </pic:pic>
              </a:graphicData>
            </a:graphic>
            <wp14:sizeRelH relativeFrom="margin">
              <wp14:pctWidth>0</wp14:pctWidth>
            </wp14:sizeRelH>
            <wp14:sizeRelV relativeFrom="margin">
              <wp14:pctHeight>0</wp14:pctHeight>
            </wp14:sizeRelV>
          </wp:anchor>
        </w:drawing>
      </w:r>
      <w:r w:rsidR="00BB1122">
        <w:t>a</w:t>
      </w:r>
      <w:r w:rsidR="008451D3" w:rsidRPr="008451D3">
        <w:t xml:space="preserve">ssessments carried out by non-GDE specialists </w:t>
      </w:r>
      <w:r w:rsidR="00AD07E0">
        <w:t xml:space="preserve">who </w:t>
      </w:r>
      <w:r w:rsidR="00703578">
        <w:t>miss critical information</w:t>
      </w:r>
      <w:r w:rsidR="00AD07E0">
        <w:t xml:space="preserve"> or interpret findings incorrectly</w:t>
      </w:r>
    </w:p>
    <w:p w14:paraId="31C8BCD0" w14:textId="77777777" w:rsidR="008451D3" w:rsidRPr="008451D3" w:rsidRDefault="00BB1122" w:rsidP="00F1192F">
      <w:pPr>
        <w:pStyle w:val="BodyText"/>
        <w:numPr>
          <w:ilvl w:val="0"/>
          <w:numId w:val="34"/>
        </w:numPr>
      </w:pPr>
      <w:r>
        <w:t>i</w:t>
      </w:r>
      <w:r w:rsidR="008451D3" w:rsidRPr="008451D3">
        <w:t xml:space="preserve">nformation gaps in ecology, taxonomy and distribution of many </w:t>
      </w:r>
      <w:r w:rsidR="00351AA3">
        <w:t>groundwater</w:t>
      </w:r>
      <w:r w:rsidR="00AD07E0">
        <w:t>-</w:t>
      </w:r>
      <w:r w:rsidR="00351AA3">
        <w:t>dependent</w:t>
      </w:r>
      <w:r>
        <w:t xml:space="preserve"> species</w:t>
      </w:r>
      <w:r w:rsidR="00703578">
        <w:t xml:space="preserve"> and their degree of groundwater </w:t>
      </w:r>
      <w:r w:rsidR="00AD07E0">
        <w:t>dependence</w:t>
      </w:r>
    </w:p>
    <w:p w14:paraId="31C8BCD1" w14:textId="77777777" w:rsidR="00703578" w:rsidRDefault="00AD07E0" w:rsidP="00F1192F">
      <w:pPr>
        <w:pStyle w:val="BodyText"/>
        <w:numPr>
          <w:ilvl w:val="0"/>
          <w:numId w:val="34"/>
        </w:numPr>
      </w:pPr>
      <w:r>
        <w:t xml:space="preserve">failure to use the </w:t>
      </w:r>
      <w:r w:rsidR="00703578">
        <w:t xml:space="preserve">best tool or model for a task </w:t>
      </w:r>
    </w:p>
    <w:p w14:paraId="31C8BCD2" w14:textId="77777777" w:rsidR="008451D3" w:rsidRPr="008451D3" w:rsidRDefault="008451D3" w:rsidP="00F1192F">
      <w:pPr>
        <w:pStyle w:val="BodyText"/>
        <w:numPr>
          <w:ilvl w:val="0"/>
          <w:numId w:val="34"/>
        </w:numPr>
      </w:pPr>
      <w:r w:rsidRPr="008451D3">
        <w:t xml:space="preserve">assessments </w:t>
      </w:r>
      <w:r w:rsidR="00AD07E0">
        <w:t xml:space="preserve">that </w:t>
      </w:r>
      <w:r w:rsidRPr="008451D3">
        <w:t>focus on only the area proposed for expansion, rather than the cumu</w:t>
      </w:r>
      <w:r w:rsidR="00BB1122">
        <w:t xml:space="preserve">lative impact of the whole </w:t>
      </w:r>
      <w:r w:rsidR="00AD07E0">
        <w:t>operation and adjacent activities</w:t>
      </w:r>
    </w:p>
    <w:p w14:paraId="31C8BCD3" w14:textId="77777777" w:rsidR="008451D3" w:rsidRPr="008451D3" w:rsidRDefault="00BB1122" w:rsidP="00F1192F">
      <w:pPr>
        <w:pStyle w:val="BodyText"/>
        <w:numPr>
          <w:ilvl w:val="0"/>
          <w:numId w:val="34"/>
        </w:numPr>
      </w:pPr>
      <w:r>
        <w:t>g</w:t>
      </w:r>
      <w:r w:rsidR="000165B9">
        <w:t xml:space="preserve">aps in legislated requirements (see </w:t>
      </w:r>
      <w:r w:rsidR="001F26CB">
        <w:t>CASE STUDY</w:t>
      </w:r>
      <w:r w:rsidR="000165B9">
        <w:t xml:space="preserve"> </w:t>
      </w:r>
      <w:r w:rsidR="00E35A71">
        <w:t>7</w:t>
      </w:r>
      <w:r w:rsidR="000165B9">
        <w:t>)</w:t>
      </w:r>
    </w:p>
    <w:p w14:paraId="31C8BCD4" w14:textId="77777777" w:rsidR="008451D3" w:rsidRDefault="00703578" w:rsidP="00F1192F">
      <w:pPr>
        <w:pStyle w:val="BodyText"/>
        <w:numPr>
          <w:ilvl w:val="0"/>
          <w:numId w:val="34"/>
        </w:numPr>
      </w:pPr>
      <w:proofErr w:type="gramStart"/>
      <w:r>
        <w:t>uncertainty</w:t>
      </w:r>
      <w:proofErr w:type="gramEnd"/>
      <w:r>
        <w:t xml:space="preserve"> </w:t>
      </w:r>
      <w:r w:rsidR="00AD07E0">
        <w:t>by proponents about</w:t>
      </w:r>
      <w:r w:rsidR="008451D3" w:rsidRPr="008451D3">
        <w:t xml:space="preserve"> what is </w:t>
      </w:r>
      <w:r>
        <w:t>required for</w:t>
      </w:r>
      <w:r w:rsidR="008451D3" w:rsidRPr="008451D3">
        <w:t xml:space="preserve"> </w:t>
      </w:r>
      <w:r w:rsidR="00AD07E0">
        <w:t xml:space="preserve">adequate </w:t>
      </w:r>
      <w:r w:rsidR="008451D3" w:rsidRPr="008451D3">
        <w:t xml:space="preserve">GDE </w:t>
      </w:r>
      <w:r w:rsidR="008451D3" w:rsidRPr="002B3998">
        <w:t>assessments</w:t>
      </w:r>
      <w:r w:rsidR="00301D7B">
        <w:t>.</w:t>
      </w:r>
    </w:p>
    <w:p w14:paraId="31C8BCD5" w14:textId="77777777" w:rsidR="00301D7B" w:rsidRDefault="00301D7B" w:rsidP="00301D7B">
      <w:pPr>
        <w:pStyle w:val="BodyText"/>
        <w:ind w:left="720"/>
      </w:pPr>
    </w:p>
    <w:p w14:paraId="31C8BCD6" w14:textId="77777777" w:rsidR="00BB1122" w:rsidRDefault="00BB1122" w:rsidP="001653C7">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t xml:space="preserve">RECOMMENDATION: </w:t>
      </w:r>
      <w:r w:rsidR="00E35A71">
        <w:t>GDE impact a</w:t>
      </w:r>
      <w:r>
        <w:t xml:space="preserve">ssessments must not rely </w:t>
      </w:r>
      <w:r w:rsidR="00AD07E0">
        <w:t xml:space="preserve">solely </w:t>
      </w:r>
      <w:r>
        <w:t>on online data</w:t>
      </w:r>
      <w:r w:rsidR="00AD07E0">
        <w:t>bases</w:t>
      </w:r>
      <w:r>
        <w:t xml:space="preserve"> but should be followed up with desktop and field surveys</w:t>
      </w:r>
      <w:r w:rsidR="00AD07E0">
        <w:t xml:space="preserve"> by qualified specialists who use appropriate methods and models</w:t>
      </w:r>
      <w:r>
        <w:t>.</w:t>
      </w:r>
    </w:p>
    <w:p w14:paraId="31C8BCD7" w14:textId="77777777" w:rsidR="00703578" w:rsidRPr="0069033E" w:rsidRDefault="0024609F" w:rsidP="00F3119C">
      <w:pPr>
        <w:pStyle w:val="Heading3"/>
      </w:pPr>
      <w:bookmarkStart w:id="73" w:name="_Toc509996490"/>
      <w:r>
        <w:t>I</w:t>
      </w:r>
      <w:r w:rsidR="00703578">
        <w:t xml:space="preserve">nformation </w:t>
      </w:r>
      <w:r>
        <w:t xml:space="preserve">sharing between consultants during </w:t>
      </w:r>
      <w:r w:rsidR="001404BB">
        <w:t xml:space="preserve">the </w:t>
      </w:r>
      <w:r w:rsidR="00BB1DD0">
        <w:t>EIA</w:t>
      </w:r>
      <w:r>
        <w:t xml:space="preserve"> process</w:t>
      </w:r>
      <w:bookmarkEnd w:id="73"/>
    </w:p>
    <w:p w14:paraId="31C8BCD8" w14:textId="77777777" w:rsidR="00703578" w:rsidRDefault="00703578" w:rsidP="00703578">
      <w:pPr>
        <w:pStyle w:val="BodyText"/>
      </w:pPr>
      <w:r w:rsidRPr="00334AEF">
        <w:t xml:space="preserve">For CSG and LSM projects, GDE impact assessments are often completed in conjunction with </w:t>
      </w:r>
      <w:r w:rsidR="001404BB">
        <w:t xml:space="preserve">other </w:t>
      </w:r>
      <w:r w:rsidRPr="00334AEF">
        <w:t>impact assessments</w:t>
      </w:r>
      <w:r w:rsidR="001404BB">
        <w:t xml:space="preserve"> of </w:t>
      </w:r>
      <w:r w:rsidRPr="00334AEF">
        <w:t xml:space="preserve">vegetation </w:t>
      </w:r>
      <w:r w:rsidR="001404BB">
        <w:t>and</w:t>
      </w:r>
      <w:r w:rsidRPr="00334AEF">
        <w:t xml:space="preserve"> aquatic ecology. During th</w:t>
      </w:r>
      <w:r w:rsidR="00BB1DD0">
        <w:t>is EIA</w:t>
      </w:r>
      <w:r w:rsidRPr="00334AEF">
        <w:t xml:space="preserve"> process, a vast amount of information is gathered about a region, and information not collected specifically for GDEs can be valuable in GDE assessments. </w:t>
      </w:r>
    </w:p>
    <w:p w14:paraId="31C8BCD9" w14:textId="77777777" w:rsidR="00703578" w:rsidRDefault="00703578" w:rsidP="00703578">
      <w:pPr>
        <w:pStyle w:val="BodyText"/>
      </w:pPr>
      <w:r>
        <w:t xml:space="preserve">It is important that </w:t>
      </w:r>
      <w:r w:rsidR="001404BB">
        <w:t xml:space="preserve">this </w:t>
      </w:r>
      <w:r w:rsidRPr="00334AEF">
        <w:t>relevant information be shared freely between consulting groups where possible, either through direct communication, via a facilitating party, or through the company</w:t>
      </w:r>
      <w:r w:rsidR="002A299E">
        <w:t xml:space="preserve"> undertaking the CSG or LCM activities</w:t>
      </w:r>
      <w:r w:rsidRPr="00334AEF">
        <w:t xml:space="preserve">. This will prevent the </w:t>
      </w:r>
      <w:r w:rsidR="001404BB">
        <w:t xml:space="preserve">needless </w:t>
      </w:r>
      <w:r w:rsidRPr="00334AEF">
        <w:t>repetition of work, and allow</w:t>
      </w:r>
      <w:r w:rsidR="001404BB">
        <w:t>s</w:t>
      </w:r>
      <w:r w:rsidRPr="00334AEF">
        <w:t xml:space="preserve"> a more hol</w:t>
      </w:r>
      <w:r w:rsidR="00E35A71">
        <w:t xml:space="preserve">istic </w:t>
      </w:r>
      <w:r w:rsidR="001404BB">
        <w:t xml:space="preserve">assessment </w:t>
      </w:r>
      <w:r w:rsidR="00E35A71">
        <w:t xml:space="preserve">of </w:t>
      </w:r>
      <w:r w:rsidR="001404BB">
        <w:t xml:space="preserve">potential </w:t>
      </w:r>
      <w:r w:rsidR="00E35A71">
        <w:t>impacts.</w:t>
      </w:r>
    </w:p>
    <w:p w14:paraId="31C8BCDA" w14:textId="77777777" w:rsidR="00301D7B" w:rsidRPr="00334AEF" w:rsidRDefault="00301D7B" w:rsidP="00703578">
      <w:pPr>
        <w:pStyle w:val="BodyText"/>
      </w:pPr>
    </w:p>
    <w:p w14:paraId="31C8BCDB" w14:textId="77777777" w:rsidR="00703578" w:rsidRDefault="00703578" w:rsidP="00703578">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t>RECOMMENDATION: Project consultants should share info</w:t>
      </w:r>
      <w:r w:rsidR="00BB1DD0">
        <w:t>rmation during all stages of EIA</w:t>
      </w:r>
      <w:r>
        <w:t xml:space="preserve"> development</w:t>
      </w:r>
      <w:r w:rsidR="001404BB">
        <w:t xml:space="preserve"> to provide a full assessment of potential impacts on GDEs</w:t>
      </w:r>
      <w:r>
        <w:t>.</w:t>
      </w:r>
      <w:r w:rsidR="00CA17F0">
        <w:t xml:space="preserve"> </w:t>
      </w:r>
    </w:p>
    <w:p w14:paraId="31C8BCDC" w14:textId="77777777" w:rsidR="00935400" w:rsidRDefault="00935400" w:rsidP="00935400">
      <w:pPr>
        <w:pStyle w:val="ListNumber"/>
        <w:numPr>
          <w:ilvl w:val="0"/>
          <w:numId w:val="0"/>
        </w:numPr>
        <w:ind w:left="397" w:hanging="397"/>
      </w:pPr>
    </w:p>
    <w:p w14:paraId="31C8BCDD" w14:textId="77777777" w:rsidR="00F3119C" w:rsidRDefault="00F3119C">
      <w:pPr>
        <w:spacing w:after="0"/>
        <w:rPr>
          <w:b/>
        </w:rPr>
      </w:pPr>
      <w:r>
        <w:rPr>
          <w:b/>
        </w:rPr>
        <w:br w:type="page"/>
      </w:r>
    </w:p>
    <w:p w14:paraId="31C8BCDE" w14:textId="77777777" w:rsidR="008451D3" w:rsidRPr="00935400" w:rsidRDefault="000165B9" w:rsidP="00935400">
      <w:pPr>
        <w:pStyle w:val="ListNumber"/>
        <w:numPr>
          <w:ilvl w:val="0"/>
          <w:numId w:val="0"/>
        </w:numPr>
        <w:ind w:left="397" w:hanging="397"/>
        <w:rPr>
          <w:i/>
          <w:u w:val="single"/>
        </w:rPr>
      </w:pPr>
      <w:r w:rsidRPr="00935400">
        <w:rPr>
          <w:b/>
        </w:rPr>
        <w:lastRenderedPageBreak/>
        <w:t xml:space="preserve">CASE STUDY </w:t>
      </w:r>
      <w:r w:rsidR="00301D7B">
        <w:rPr>
          <w:b/>
        </w:rPr>
        <w:t>7</w:t>
      </w:r>
      <w:r w:rsidR="008451D3" w:rsidRPr="00935400">
        <w:rPr>
          <w:b/>
        </w:rPr>
        <w:t>:</w:t>
      </w:r>
      <w:r w:rsidR="008451D3" w:rsidRPr="008451D3">
        <w:t xml:space="preserve"> </w:t>
      </w:r>
      <w:r w:rsidR="002E31AA" w:rsidRPr="00935400">
        <w:rPr>
          <w:i/>
          <w:u w:val="single"/>
        </w:rPr>
        <w:t>Narrowing</w:t>
      </w:r>
      <w:r w:rsidRPr="00935400">
        <w:rPr>
          <w:i/>
          <w:u w:val="single"/>
        </w:rPr>
        <w:t xml:space="preserve"> the </w:t>
      </w:r>
      <w:r w:rsidR="008451D3" w:rsidRPr="00935400">
        <w:rPr>
          <w:i/>
          <w:u w:val="single"/>
        </w:rPr>
        <w:t>gaps in impact assessment for aquifer ecosystems</w:t>
      </w:r>
    </w:p>
    <w:p w14:paraId="31C8BCDF" w14:textId="77777777" w:rsidR="008451D3" w:rsidRPr="00351E1C" w:rsidRDefault="000165B9" w:rsidP="00351E1C">
      <w:pPr>
        <w:pStyle w:val="BodyText"/>
        <w:rPr>
          <w:i/>
        </w:rPr>
      </w:pPr>
      <w:r w:rsidRPr="00351E1C">
        <w:rPr>
          <w:i/>
        </w:rPr>
        <w:t>In</w:t>
      </w:r>
      <w:r w:rsidR="008451D3" w:rsidRPr="00351E1C">
        <w:rPr>
          <w:i/>
        </w:rPr>
        <w:t xml:space="preserve"> Queensland,</w:t>
      </w:r>
      <w:r w:rsidRPr="00351E1C">
        <w:rPr>
          <w:i/>
        </w:rPr>
        <w:t xml:space="preserve"> up until 2014</w:t>
      </w:r>
      <w:r w:rsidR="008451D3" w:rsidRPr="00351E1C">
        <w:rPr>
          <w:i/>
        </w:rPr>
        <w:t xml:space="preserve"> there </w:t>
      </w:r>
      <w:r w:rsidRPr="00351E1C">
        <w:rPr>
          <w:i/>
        </w:rPr>
        <w:t>was</w:t>
      </w:r>
      <w:r w:rsidR="008451D3" w:rsidRPr="00351E1C">
        <w:rPr>
          <w:i/>
        </w:rPr>
        <w:t xml:space="preserve"> a requirement only to identify stygofauna specimens to </w:t>
      </w:r>
      <w:r w:rsidR="00703578" w:rsidRPr="00351E1C">
        <w:rPr>
          <w:i/>
        </w:rPr>
        <w:t>F</w:t>
      </w:r>
      <w:r w:rsidR="008451D3" w:rsidRPr="00351E1C">
        <w:rPr>
          <w:i/>
        </w:rPr>
        <w:t xml:space="preserve">amily level </w:t>
      </w:r>
      <w:r w:rsidR="001404BB">
        <w:rPr>
          <w:i/>
        </w:rPr>
        <w:t xml:space="preserve">and </w:t>
      </w:r>
      <w:r w:rsidR="008451D3" w:rsidRPr="00351E1C">
        <w:rPr>
          <w:i/>
        </w:rPr>
        <w:t xml:space="preserve">then assess their status as endemic. </w:t>
      </w:r>
      <w:r w:rsidR="001404BB">
        <w:rPr>
          <w:i/>
        </w:rPr>
        <w:t>As t</w:t>
      </w:r>
      <w:r w:rsidR="008451D3" w:rsidRPr="00351E1C">
        <w:rPr>
          <w:i/>
        </w:rPr>
        <w:t xml:space="preserve">here are few taxa that are endemic at the </w:t>
      </w:r>
      <w:r w:rsidR="009A7D5F">
        <w:rPr>
          <w:i/>
        </w:rPr>
        <w:t>F</w:t>
      </w:r>
      <w:r w:rsidR="008451D3" w:rsidRPr="00351E1C">
        <w:rPr>
          <w:i/>
        </w:rPr>
        <w:t>amily level</w:t>
      </w:r>
      <w:r w:rsidR="00F02995" w:rsidRPr="00351E1C">
        <w:rPr>
          <w:i/>
        </w:rPr>
        <w:t>, most</w:t>
      </w:r>
      <w:r w:rsidR="008451D3" w:rsidRPr="00351E1C">
        <w:rPr>
          <w:i/>
        </w:rPr>
        <w:t xml:space="preserve"> assessments </w:t>
      </w:r>
      <w:r w:rsidR="001404BB">
        <w:rPr>
          <w:i/>
        </w:rPr>
        <w:t>concluded</w:t>
      </w:r>
      <w:r w:rsidR="001404BB" w:rsidRPr="00351E1C">
        <w:rPr>
          <w:i/>
        </w:rPr>
        <w:t xml:space="preserve"> </w:t>
      </w:r>
      <w:r w:rsidR="008451D3" w:rsidRPr="00351E1C">
        <w:rPr>
          <w:i/>
        </w:rPr>
        <w:t>that impacts to aquifer ecosystems w</w:t>
      </w:r>
      <w:r w:rsidR="001404BB">
        <w:rPr>
          <w:i/>
        </w:rPr>
        <w:t>ould</w:t>
      </w:r>
      <w:r w:rsidR="008451D3" w:rsidRPr="00351E1C">
        <w:rPr>
          <w:i/>
        </w:rPr>
        <w:t xml:space="preserve"> be negligible. </w:t>
      </w:r>
    </w:p>
    <w:p w14:paraId="31C8BCE0" w14:textId="77777777" w:rsidR="008451D3" w:rsidRPr="00351E1C" w:rsidRDefault="009A7D5F" w:rsidP="00351E1C">
      <w:pPr>
        <w:pStyle w:val="BodyText"/>
        <w:rPr>
          <w:i/>
        </w:rPr>
      </w:pPr>
      <w:r>
        <w:rPr>
          <w:i/>
        </w:rPr>
        <w:t>O</w:t>
      </w:r>
      <w:r w:rsidR="008451D3" w:rsidRPr="00351E1C">
        <w:rPr>
          <w:i/>
        </w:rPr>
        <w:t xml:space="preserve">nly </w:t>
      </w:r>
      <w:r w:rsidR="00703578" w:rsidRPr="00351E1C">
        <w:rPr>
          <w:i/>
        </w:rPr>
        <w:t>F</w:t>
      </w:r>
      <w:r w:rsidR="008451D3" w:rsidRPr="00351E1C">
        <w:rPr>
          <w:i/>
        </w:rPr>
        <w:t xml:space="preserve">amily level identification </w:t>
      </w:r>
      <w:r w:rsidR="000165B9" w:rsidRPr="00351E1C">
        <w:rPr>
          <w:i/>
        </w:rPr>
        <w:t>wa</w:t>
      </w:r>
      <w:r w:rsidR="008451D3" w:rsidRPr="00351E1C">
        <w:rPr>
          <w:i/>
        </w:rPr>
        <w:t xml:space="preserve">s required </w:t>
      </w:r>
      <w:r>
        <w:rPr>
          <w:i/>
        </w:rPr>
        <w:t>because</w:t>
      </w:r>
      <w:r w:rsidR="008451D3" w:rsidRPr="00351E1C">
        <w:rPr>
          <w:i/>
        </w:rPr>
        <w:t xml:space="preserve"> stygofauna taxonomy and understanding of stygofauna ecology and distr</w:t>
      </w:r>
      <w:r w:rsidR="000165B9" w:rsidRPr="00351E1C">
        <w:rPr>
          <w:i/>
        </w:rPr>
        <w:t xml:space="preserve">ibution </w:t>
      </w:r>
      <w:r>
        <w:rPr>
          <w:i/>
        </w:rPr>
        <w:t>was</w:t>
      </w:r>
      <w:r w:rsidR="000165B9" w:rsidRPr="00351E1C">
        <w:rPr>
          <w:i/>
        </w:rPr>
        <w:t xml:space="preserve"> rudimentary. M</w:t>
      </w:r>
      <w:r w:rsidR="008451D3" w:rsidRPr="00351E1C">
        <w:rPr>
          <w:i/>
        </w:rPr>
        <w:t>any regions</w:t>
      </w:r>
      <w:r w:rsidR="000165B9" w:rsidRPr="00351E1C">
        <w:rPr>
          <w:i/>
        </w:rPr>
        <w:t xml:space="preserve"> had not been sampled for stygofauna, so the species present were unknown, as was their ecology and any understanding of the</w:t>
      </w:r>
      <w:r w:rsidR="001404BB">
        <w:rPr>
          <w:i/>
        </w:rPr>
        <w:t xml:space="preserve"> species’</w:t>
      </w:r>
      <w:r w:rsidR="000165B9" w:rsidRPr="00351E1C">
        <w:rPr>
          <w:i/>
        </w:rPr>
        <w:t xml:space="preserve"> range</w:t>
      </w:r>
      <w:r w:rsidR="001404BB">
        <w:rPr>
          <w:i/>
        </w:rPr>
        <w:t>s</w:t>
      </w:r>
      <w:r w:rsidR="000165B9" w:rsidRPr="00351E1C">
        <w:rPr>
          <w:i/>
        </w:rPr>
        <w:t xml:space="preserve">. </w:t>
      </w:r>
      <w:r w:rsidR="008451D3" w:rsidRPr="00351E1C">
        <w:rPr>
          <w:i/>
        </w:rPr>
        <w:t xml:space="preserve"> </w:t>
      </w:r>
    </w:p>
    <w:p w14:paraId="31C8BCE1" w14:textId="77777777" w:rsidR="000165B9" w:rsidRDefault="00351E1C" w:rsidP="00351E1C">
      <w:pPr>
        <w:pStyle w:val="BodyText"/>
      </w:pPr>
      <w:r w:rsidRPr="00351E1C">
        <w:rPr>
          <w:i/>
          <w:noProof/>
        </w:rPr>
        <w:drawing>
          <wp:anchor distT="0" distB="0" distL="114300" distR="114300" simplePos="0" relativeHeight="251852288" behindDoc="1" locked="0" layoutInCell="1" allowOverlap="1" wp14:anchorId="31C8C30E" wp14:editId="31C8C30F">
            <wp:simplePos x="0" y="0"/>
            <wp:positionH relativeFrom="margin">
              <wp:align>right</wp:align>
            </wp:positionH>
            <wp:positionV relativeFrom="paragraph">
              <wp:posOffset>467075</wp:posOffset>
            </wp:positionV>
            <wp:extent cx="2591435" cy="1901190"/>
            <wp:effectExtent l="0" t="0" r="0" b="3810"/>
            <wp:wrapTight wrapText="bothSides">
              <wp:wrapPolygon edited="0">
                <wp:start x="0" y="0"/>
                <wp:lineTo x="0" y="21427"/>
                <wp:lineTo x="21436" y="21427"/>
                <wp:lineTo x="21436" y="0"/>
                <wp:lineTo x="0" y="0"/>
              </wp:wrapPolygon>
            </wp:wrapTight>
            <wp:docPr id="1" name="Picture 1" descr="N:\Projects\17ARM\8960 GDE paper for IESC on CSG and large Coal mining\pics\sampling stygofauna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cts\17ARM\8960 GDE paper for IESC on CSG and large Coal mining\pics\sampling stygofauna pump.JPG"/>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2591435"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1D3" w:rsidRPr="00351E1C">
        <w:rPr>
          <w:i/>
        </w:rPr>
        <w:t xml:space="preserve">In Western Australia, stygofauna impact assessment guidelines required specimens to be identified to </w:t>
      </w:r>
      <w:r w:rsidR="001404BB">
        <w:rPr>
          <w:i/>
        </w:rPr>
        <w:t>S</w:t>
      </w:r>
      <w:r w:rsidR="008451D3" w:rsidRPr="00351E1C">
        <w:rPr>
          <w:i/>
        </w:rPr>
        <w:t xml:space="preserve">pecies level using morphological features or DNA analysis (WA EPA 2003, 2007). This resulted in a vast increase in knowledge </w:t>
      </w:r>
      <w:r w:rsidR="001404BB">
        <w:rPr>
          <w:i/>
        </w:rPr>
        <w:t>about</w:t>
      </w:r>
      <w:r w:rsidR="001404BB" w:rsidRPr="00351E1C">
        <w:rPr>
          <w:i/>
        </w:rPr>
        <w:t xml:space="preserve"> </w:t>
      </w:r>
      <w:r w:rsidR="008451D3" w:rsidRPr="00351E1C">
        <w:rPr>
          <w:i/>
        </w:rPr>
        <w:t xml:space="preserve">stygofauna distribution, and led to a rapid increase in the number of known stygofauna species. It also meant that impact assessments were more robust, and proponents better able to assess the level of </w:t>
      </w:r>
      <w:proofErr w:type="spellStart"/>
      <w:r w:rsidR="008451D3" w:rsidRPr="00351E1C">
        <w:rPr>
          <w:i/>
        </w:rPr>
        <w:t>stygofaunal</w:t>
      </w:r>
      <w:proofErr w:type="spellEnd"/>
      <w:r w:rsidR="008451D3" w:rsidRPr="00351E1C">
        <w:rPr>
          <w:i/>
        </w:rPr>
        <w:t xml:space="preserve"> endemism in</w:t>
      </w:r>
      <w:r w:rsidRPr="00351E1C">
        <w:rPr>
          <w:i/>
        </w:rPr>
        <w:t xml:space="preserve"> t</w:t>
      </w:r>
      <w:r w:rsidR="008451D3" w:rsidRPr="00351E1C">
        <w:rPr>
          <w:i/>
        </w:rPr>
        <w:t xml:space="preserve">heir impact area. </w:t>
      </w:r>
      <w:r w:rsidR="000165B9" w:rsidRPr="00351E1C">
        <w:rPr>
          <w:i/>
        </w:rPr>
        <w:t xml:space="preserve">In 2014, the Queensland Government released Guidelines for the Environmental Assessment of Subterranean Aquatic Fauna (DSITI 2014) which specified that most crustaceans were to be identified to </w:t>
      </w:r>
      <w:r w:rsidR="00703578" w:rsidRPr="00351E1C">
        <w:rPr>
          <w:i/>
        </w:rPr>
        <w:t>G</w:t>
      </w:r>
      <w:r w:rsidR="000165B9" w:rsidRPr="00351E1C">
        <w:rPr>
          <w:i/>
        </w:rPr>
        <w:t xml:space="preserve">enus while other groups could be identified to </w:t>
      </w:r>
      <w:r w:rsidR="009A7D5F">
        <w:rPr>
          <w:i/>
        </w:rPr>
        <w:t>O</w:t>
      </w:r>
      <w:r w:rsidR="000165B9" w:rsidRPr="00351E1C">
        <w:rPr>
          <w:i/>
        </w:rPr>
        <w:t xml:space="preserve">rder or </w:t>
      </w:r>
      <w:r w:rsidR="009A7D5F">
        <w:rPr>
          <w:i/>
        </w:rPr>
        <w:t>F</w:t>
      </w:r>
      <w:r w:rsidR="000165B9" w:rsidRPr="00351E1C">
        <w:rPr>
          <w:i/>
        </w:rPr>
        <w:t xml:space="preserve">amily. </w:t>
      </w:r>
      <w:r w:rsidR="000165B9" w:rsidRPr="009A7D5F">
        <w:rPr>
          <w:i/>
        </w:rPr>
        <w:t>Genus</w:t>
      </w:r>
      <w:r w:rsidR="001404BB">
        <w:rPr>
          <w:i/>
        </w:rPr>
        <w:t>-</w:t>
      </w:r>
      <w:r w:rsidR="000165B9" w:rsidRPr="009A7D5F">
        <w:rPr>
          <w:i/>
        </w:rPr>
        <w:t xml:space="preserve">level taxonomy is possible for most crustacean groups, and these </w:t>
      </w:r>
      <w:r w:rsidR="001404BB">
        <w:rPr>
          <w:i/>
        </w:rPr>
        <w:t xml:space="preserve">groups </w:t>
      </w:r>
      <w:r w:rsidR="000165B9" w:rsidRPr="009A7D5F">
        <w:rPr>
          <w:i/>
        </w:rPr>
        <w:t xml:space="preserve">are the </w:t>
      </w:r>
      <w:r w:rsidR="001404BB">
        <w:rPr>
          <w:i/>
        </w:rPr>
        <w:t>ones</w:t>
      </w:r>
      <w:r w:rsidR="001404BB" w:rsidRPr="009A7D5F">
        <w:rPr>
          <w:i/>
        </w:rPr>
        <w:t xml:space="preserve"> </w:t>
      </w:r>
      <w:r w:rsidR="000165B9" w:rsidRPr="009A7D5F">
        <w:rPr>
          <w:i/>
        </w:rPr>
        <w:t>most likely to be stygofauna. Where taxonomic expertise is limited, genetic analysis should be used following morphological assessment.</w:t>
      </w:r>
      <w:r w:rsidR="000165B9" w:rsidRPr="00652E25">
        <w:t xml:space="preserve"> </w:t>
      </w:r>
    </w:p>
    <w:p w14:paraId="31C8BCE2" w14:textId="77777777" w:rsidR="00351E1C" w:rsidRPr="00652E25" w:rsidRDefault="008451D3" w:rsidP="00652E25">
      <w:pPr>
        <w:pStyle w:val="BodyText"/>
        <w:rPr>
          <w:i/>
        </w:rPr>
      </w:pPr>
      <w:r w:rsidRPr="00652E25">
        <w:rPr>
          <w:i/>
        </w:rPr>
        <w:t xml:space="preserve">For assessments of potential impacts to aquifer ecosystems, there is a need for stygofauna collected for CSG and LCM projects to be identified to </w:t>
      </w:r>
      <w:r w:rsidR="009A7D5F">
        <w:rPr>
          <w:i/>
        </w:rPr>
        <w:t>G</w:t>
      </w:r>
      <w:r w:rsidR="000165B9" w:rsidRPr="00652E25">
        <w:rPr>
          <w:i/>
        </w:rPr>
        <w:t xml:space="preserve">enus or </w:t>
      </w:r>
      <w:r w:rsidR="001404BB">
        <w:rPr>
          <w:i/>
        </w:rPr>
        <w:t>S</w:t>
      </w:r>
      <w:r w:rsidRPr="00652E25">
        <w:rPr>
          <w:i/>
        </w:rPr>
        <w:t xml:space="preserve">pecies level. This will allow proponents to </w:t>
      </w:r>
      <w:r w:rsidR="001404BB">
        <w:rPr>
          <w:i/>
        </w:rPr>
        <w:t>more reliab</w:t>
      </w:r>
      <w:r w:rsidR="001404BB" w:rsidRPr="00652E25">
        <w:rPr>
          <w:i/>
        </w:rPr>
        <w:t xml:space="preserve">ly </w:t>
      </w:r>
      <w:r w:rsidRPr="00652E25">
        <w:rPr>
          <w:i/>
        </w:rPr>
        <w:t xml:space="preserve">assess endemism in </w:t>
      </w:r>
      <w:r w:rsidR="001404BB">
        <w:rPr>
          <w:i/>
        </w:rPr>
        <w:t>the collected</w:t>
      </w:r>
      <w:r w:rsidR="001404BB" w:rsidRPr="00652E25">
        <w:rPr>
          <w:i/>
        </w:rPr>
        <w:t xml:space="preserve"> </w:t>
      </w:r>
      <w:proofErr w:type="spellStart"/>
      <w:r w:rsidRPr="00652E25">
        <w:rPr>
          <w:i/>
        </w:rPr>
        <w:t>stygofaunal</w:t>
      </w:r>
      <w:proofErr w:type="spellEnd"/>
      <w:r w:rsidRPr="00652E25">
        <w:rPr>
          <w:i/>
        </w:rPr>
        <w:t xml:space="preserve"> taxa and will increase knowledge in stygofauna biodiversity and distribution in eastern Australia. Concurrent collection of environmental data (electrical conductivity, dissolved oxygen concentration, temperature, pH, depth of </w:t>
      </w:r>
      <w:proofErr w:type="spellStart"/>
      <w:r w:rsidR="00AB6B3E">
        <w:rPr>
          <w:i/>
        </w:rPr>
        <w:t>watertable</w:t>
      </w:r>
      <w:proofErr w:type="spellEnd"/>
      <w:r w:rsidRPr="00652E25">
        <w:rPr>
          <w:i/>
        </w:rPr>
        <w:t xml:space="preserve"> below ground, depth of bore screen) will increase understanding of stygofauna tolerances to water quality and changes in groundwater level. </w:t>
      </w:r>
    </w:p>
    <w:p w14:paraId="31C8BCE3" w14:textId="77777777" w:rsidR="008451D3" w:rsidRDefault="008451D3" w:rsidP="00652E25">
      <w:pPr>
        <w:pStyle w:val="BodyText"/>
        <w:rPr>
          <w:i/>
        </w:rPr>
      </w:pPr>
      <w:r w:rsidRPr="00652E25">
        <w:rPr>
          <w:i/>
        </w:rPr>
        <w:t>All data should be stored in a central state</w:t>
      </w:r>
      <w:r w:rsidR="001404BB">
        <w:rPr>
          <w:i/>
        </w:rPr>
        <w:t>-</w:t>
      </w:r>
      <w:r w:rsidRPr="00652E25">
        <w:rPr>
          <w:i/>
        </w:rPr>
        <w:t xml:space="preserve">based repository that is moderated and publically available, such as the ‘Queensland subterranean aquatic fauna database’. </w:t>
      </w:r>
      <w:r w:rsidR="009A7D5F">
        <w:rPr>
          <w:i/>
        </w:rPr>
        <w:t>A s</w:t>
      </w:r>
      <w:r w:rsidRPr="00652E25">
        <w:rPr>
          <w:i/>
        </w:rPr>
        <w:t xml:space="preserve">tygofauna database could be linked to the national GDE Atlas to </w:t>
      </w:r>
      <w:r w:rsidR="001404BB">
        <w:rPr>
          <w:i/>
        </w:rPr>
        <w:t>enabl</w:t>
      </w:r>
      <w:r w:rsidR="001404BB" w:rsidRPr="00652E25">
        <w:rPr>
          <w:i/>
        </w:rPr>
        <w:t xml:space="preserve">e </w:t>
      </w:r>
      <w:r w:rsidRPr="00652E25">
        <w:rPr>
          <w:i/>
        </w:rPr>
        <w:t>searches by geographical region</w:t>
      </w:r>
      <w:r w:rsidR="005C3E05">
        <w:rPr>
          <w:i/>
        </w:rPr>
        <w:t xml:space="preserve"> and</w:t>
      </w:r>
      <w:r w:rsidRPr="00652E25">
        <w:rPr>
          <w:i/>
        </w:rPr>
        <w:t xml:space="preserve"> taxonomic </w:t>
      </w:r>
      <w:r w:rsidR="005C3E05">
        <w:rPr>
          <w:i/>
        </w:rPr>
        <w:t>group</w:t>
      </w:r>
      <w:r w:rsidRPr="00652E25">
        <w:rPr>
          <w:i/>
        </w:rPr>
        <w:t xml:space="preserve">.   </w:t>
      </w:r>
    </w:p>
    <w:p w14:paraId="31C8BCE4" w14:textId="77777777" w:rsidR="001D400D" w:rsidRDefault="001D400D" w:rsidP="00652E25">
      <w:pPr>
        <w:pStyle w:val="BodyText"/>
        <w:rPr>
          <w:i/>
        </w:rPr>
      </w:pPr>
    </w:p>
    <w:p w14:paraId="31C8BCE5" w14:textId="77777777" w:rsidR="00334AEF" w:rsidRPr="00BB1122" w:rsidRDefault="00E8370D" w:rsidP="00BB1122">
      <w:pPr>
        <w:pStyle w:val="BodyText"/>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C2F3FF" w:themeFill="accent1" w:themeFillTint="33"/>
      </w:pPr>
      <w:r w:rsidRPr="00597496">
        <w:rPr>
          <w:b/>
        </w:rPr>
        <w:t>OUTCOME</w:t>
      </w:r>
      <w:r>
        <w:t xml:space="preserve">: </w:t>
      </w:r>
      <w:r w:rsidR="004575C3">
        <w:t>T</w:t>
      </w:r>
      <w:r w:rsidRPr="004840CB">
        <w:t xml:space="preserve">he </w:t>
      </w:r>
      <w:r w:rsidR="00ED7203" w:rsidRPr="004840CB">
        <w:t>proponent</w:t>
      </w:r>
      <w:r w:rsidR="00ED7203">
        <w:t>,</w:t>
      </w:r>
      <w:r w:rsidR="00ED7203" w:rsidRPr="004840CB">
        <w:t xml:space="preserve"> </w:t>
      </w:r>
      <w:r w:rsidR="00ED7203">
        <w:t xml:space="preserve">after defining the baseline condition of each GDE within and outside the area of impact, will have identified how the GDEs and the services they provide are likely to respond to changes in groundwater regime and water quality, all processes likely to threaten GDEs as a result of CSG and LCM activities, and which </w:t>
      </w:r>
      <w:r w:rsidR="00ED7203" w:rsidRPr="00597496">
        <w:t>GDEs are most at risk and the likely consequences at regional/state/national</w:t>
      </w:r>
      <w:r w:rsidRPr="00597496">
        <w:t xml:space="preserve"> levels. </w:t>
      </w:r>
      <w:bookmarkStart w:id="74" w:name="_Toc504056326"/>
    </w:p>
    <w:p w14:paraId="31C8BCE6" w14:textId="77777777" w:rsidR="007A727E" w:rsidRDefault="007A727E" w:rsidP="00F3119C">
      <w:pPr>
        <w:pStyle w:val="Heading1"/>
      </w:pPr>
      <w:bookmarkStart w:id="75" w:name="_Toc509996491"/>
      <w:r w:rsidRPr="00E66DB2">
        <w:lastRenderedPageBreak/>
        <w:t>Avoidance</w:t>
      </w:r>
      <w:r>
        <w:t>, mitigation and management options</w:t>
      </w:r>
      <w:bookmarkEnd w:id="75"/>
    </w:p>
    <w:p w14:paraId="31C8BCE7" w14:textId="77777777" w:rsidR="009067F4" w:rsidRDefault="00962A12" w:rsidP="009067F4">
      <w:pPr>
        <w:pStyle w:val="BodyText"/>
      </w:pPr>
      <w:bookmarkStart w:id="76" w:name="_Toc504056327"/>
      <w:bookmarkEnd w:id="74"/>
      <w:r>
        <w:t>O</w:t>
      </w:r>
      <w:r w:rsidR="00E66DB2">
        <w:t xml:space="preserve">nce </w:t>
      </w:r>
      <w:r>
        <w:t xml:space="preserve">the </w:t>
      </w:r>
      <w:r w:rsidR="00E66DB2">
        <w:t xml:space="preserve">location </w:t>
      </w:r>
      <w:r w:rsidR="00833CE4">
        <w:t>and condition</w:t>
      </w:r>
      <w:r>
        <w:t xml:space="preserve"> of GDEs in the project impact area</w:t>
      </w:r>
      <w:r w:rsidR="00833CE4">
        <w:t xml:space="preserve"> </w:t>
      </w:r>
      <w:r>
        <w:t xml:space="preserve">are </w:t>
      </w:r>
      <w:r w:rsidR="00E66DB2">
        <w:t xml:space="preserve">known, </w:t>
      </w:r>
      <w:r>
        <w:t xml:space="preserve">the key management aim </w:t>
      </w:r>
      <w:r w:rsidR="00E66DB2">
        <w:t xml:space="preserve">is to protect </w:t>
      </w:r>
      <w:r>
        <w:t xml:space="preserve">them </w:t>
      </w:r>
      <w:r w:rsidR="00E66DB2">
        <w:t xml:space="preserve">from </w:t>
      </w:r>
      <w:r>
        <w:t xml:space="preserve">impacts of </w:t>
      </w:r>
      <w:r w:rsidR="00E66DB2">
        <w:t xml:space="preserve">CSG and LCM </w:t>
      </w:r>
      <w:r>
        <w:t xml:space="preserve">activities </w:t>
      </w:r>
      <w:r w:rsidR="00E66DB2">
        <w:t xml:space="preserve">that will </w:t>
      </w:r>
      <w:r w:rsidR="00833CE4">
        <w:t>reduce</w:t>
      </w:r>
      <w:r w:rsidR="00E66DB2">
        <w:t xml:space="preserve"> their ecological value, whether the impacts occur in the pre-construction, construction, operational </w:t>
      </w:r>
      <w:r w:rsidR="00833CE4">
        <w:t xml:space="preserve">or </w:t>
      </w:r>
      <w:r w:rsidR="00E66DB2">
        <w:t>post-</w:t>
      </w:r>
      <w:r w:rsidR="00833CE4">
        <w:t xml:space="preserve">operational phase </w:t>
      </w:r>
      <w:r>
        <w:t>(</w:t>
      </w:r>
      <w:r w:rsidR="00833CE4">
        <w:t>includ</w:t>
      </w:r>
      <w:r>
        <w:t>i</w:t>
      </w:r>
      <w:r w:rsidR="00833CE4">
        <w:t>ng</w:t>
      </w:r>
      <w:r w:rsidR="00E66DB2">
        <w:t xml:space="preserve"> rehabilitation</w:t>
      </w:r>
      <w:r>
        <w:t>)</w:t>
      </w:r>
      <w:r w:rsidR="00E66DB2">
        <w:t>. This requires strateg</w:t>
      </w:r>
      <w:r>
        <w:t>ic</w:t>
      </w:r>
      <w:r w:rsidR="00E66DB2">
        <w:t xml:space="preserve"> planning to </w:t>
      </w:r>
      <w:r w:rsidR="00833CE4">
        <w:t>prevent</w:t>
      </w:r>
      <w:r w:rsidR="00E66DB2" w:rsidRPr="00597496">
        <w:t xml:space="preserve"> adverse impacts of </w:t>
      </w:r>
      <w:r w:rsidR="00833CE4">
        <w:t>CSG and LCM</w:t>
      </w:r>
      <w:r w:rsidR="00E66DB2" w:rsidRPr="00597496">
        <w:t xml:space="preserve"> activities on GDEs</w:t>
      </w:r>
      <w:r>
        <w:t>,</w:t>
      </w:r>
      <w:r w:rsidR="00E66DB2" w:rsidRPr="00E66DB2">
        <w:t xml:space="preserve"> </w:t>
      </w:r>
      <w:r w:rsidR="00E66DB2" w:rsidRPr="00597496">
        <w:t>and develop</w:t>
      </w:r>
      <w:r w:rsidR="00E66DB2">
        <w:t>ment of</w:t>
      </w:r>
      <w:r w:rsidR="00E66DB2" w:rsidRPr="00597496">
        <w:t xml:space="preserve"> </w:t>
      </w:r>
      <w:r w:rsidR="00833CE4">
        <w:t>management</w:t>
      </w:r>
      <w:r w:rsidR="00E66DB2" w:rsidRPr="00597496">
        <w:t xml:space="preserve"> plans to mitigate the impacts on GDEs </w:t>
      </w:r>
      <w:r w:rsidR="00833CE4">
        <w:t xml:space="preserve">when </w:t>
      </w:r>
      <w:r>
        <w:t>impacts</w:t>
      </w:r>
      <w:r w:rsidRPr="00597496">
        <w:t xml:space="preserve"> </w:t>
      </w:r>
      <w:r w:rsidR="00E66DB2" w:rsidRPr="00597496">
        <w:t>are unavoidable or unforeseen</w:t>
      </w:r>
      <w:r w:rsidR="00E66DB2">
        <w:t xml:space="preserve"> (see arrow 6 in </w:t>
      </w:r>
      <w:r w:rsidR="00E66DB2">
        <w:fldChar w:fldCharType="begin"/>
      </w:r>
      <w:r w:rsidR="00E66DB2">
        <w:instrText xml:space="preserve"> REF _Ref507091362 \h </w:instrText>
      </w:r>
      <w:r w:rsidR="00E66DB2">
        <w:fldChar w:fldCharType="separate"/>
      </w:r>
      <w:r w:rsidR="00E96B43" w:rsidRPr="00000D10">
        <w:rPr>
          <w:color w:val="000000" w:themeColor="text1"/>
        </w:rPr>
        <w:t xml:space="preserve">Figure </w:t>
      </w:r>
      <w:r w:rsidR="00E96B43">
        <w:rPr>
          <w:noProof/>
          <w:color w:val="000000" w:themeColor="text1"/>
        </w:rPr>
        <w:t>5</w:t>
      </w:r>
      <w:r w:rsidR="00E66DB2">
        <w:fldChar w:fldCharType="end"/>
      </w:r>
      <w:r w:rsidR="00E66DB2">
        <w:t xml:space="preserve">). This is best achieved with a GDE management plan that details the ecological components and </w:t>
      </w:r>
      <w:r>
        <w:t xml:space="preserve">water requirements </w:t>
      </w:r>
      <w:r w:rsidR="00E66DB2">
        <w:t xml:space="preserve">of each GDE, their ecological </w:t>
      </w:r>
      <w:r w:rsidR="00976ADC">
        <w:t xml:space="preserve">condition and </w:t>
      </w:r>
      <w:r w:rsidR="00E66DB2">
        <w:t>value</w:t>
      </w:r>
      <w:r>
        <w:t>,</w:t>
      </w:r>
      <w:r w:rsidR="00E66DB2">
        <w:t xml:space="preserve"> and the legislative status under which they might be protected.</w:t>
      </w:r>
      <w:r w:rsidR="009067F4" w:rsidRPr="009067F4">
        <w:t xml:space="preserve"> </w:t>
      </w:r>
      <w:r w:rsidR="009067F4">
        <w:t>Research and monitoring must underpin a</w:t>
      </w:r>
      <w:r>
        <w:t>ny</w:t>
      </w:r>
      <w:r w:rsidR="009067F4">
        <w:t xml:space="preserve"> management plan to inform adaptive management which will reduce environmental impacts and contribute to an increased understanding and therefore protection of ecological values </w:t>
      </w:r>
      <w:r>
        <w:t>in</w:t>
      </w:r>
      <w:r w:rsidR="009067F4">
        <w:t xml:space="preserve"> the project </w:t>
      </w:r>
      <w:r>
        <w:t xml:space="preserve">impact </w:t>
      </w:r>
      <w:r w:rsidR="009067F4">
        <w:t>area.</w:t>
      </w:r>
    </w:p>
    <w:p w14:paraId="31C8BCE8" w14:textId="77777777" w:rsidR="008A4B08" w:rsidRDefault="0055414D" w:rsidP="00F3119C">
      <w:pPr>
        <w:pStyle w:val="Heading2"/>
      </w:pPr>
      <w:bookmarkStart w:id="77" w:name="_Toc509996492"/>
      <w:r>
        <w:t>Management Plan</w:t>
      </w:r>
      <w:r w:rsidR="00B57F2F">
        <w:t>s</w:t>
      </w:r>
      <w:bookmarkEnd w:id="77"/>
    </w:p>
    <w:p w14:paraId="31C8BCE9" w14:textId="77777777" w:rsidR="0055414D" w:rsidRDefault="00794E56" w:rsidP="00B156DB">
      <w:pPr>
        <w:pStyle w:val="BodyText"/>
      </w:pPr>
      <w:r>
        <w:rPr>
          <w:noProof/>
        </w:rPr>
        <w:drawing>
          <wp:anchor distT="0" distB="0" distL="114300" distR="114300" simplePos="0" relativeHeight="251887104" behindDoc="0" locked="0" layoutInCell="1" allowOverlap="1" wp14:anchorId="31C8C310" wp14:editId="31C8C311">
            <wp:simplePos x="0" y="0"/>
            <wp:positionH relativeFrom="margin">
              <wp:align>left</wp:align>
            </wp:positionH>
            <wp:positionV relativeFrom="paragraph">
              <wp:posOffset>75680</wp:posOffset>
            </wp:positionV>
            <wp:extent cx="1746885" cy="2491105"/>
            <wp:effectExtent l="0" t="0" r="5715" b="4445"/>
            <wp:wrapThrough wrapText="bothSides">
              <wp:wrapPolygon edited="0">
                <wp:start x="0" y="0"/>
                <wp:lineTo x="0" y="21473"/>
                <wp:lineTo x="21435" y="21473"/>
                <wp:lineTo x="21435" y="0"/>
                <wp:lineTo x="0" y="0"/>
              </wp:wrapPolygon>
            </wp:wrapThrough>
            <wp:docPr id="61443" name="Picture 6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DSC_1482v1.jpg"/>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1746885" cy="2491105"/>
                    </a:xfrm>
                    <a:prstGeom prst="rect">
                      <a:avLst/>
                    </a:prstGeom>
                    <a:ln>
                      <a:noFill/>
                    </a:ln>
                    <a:extLst>
                      <a:ext uri="{53640926-AAD7-44D8-BBD7-CCE9431645EC}">
                        <a14:shadowObscured xmlns:a14="http://schemas.microsoft.com/office/drawing/2010/main"/>
                      </a:ext>
                    </a:extLst>
                  </pic:spPr>
                </pic:pic>
              </a:graphicData>
            </a:graphic>
          </wp:anchor>
        </w:drawing>
      </w:r>
      <w:r w:rsidR="0055414D">
        <w:t xml:space="preserve">A management plan </w:t>
      </w:r>
      <w:r w:rsidR="00962A12">
        <w:t xml:space="preserve">should </w:t>
      </w:r>
      <w:r w:rsidR="0055414D">
        <w:t xml:space="preserve">present the </w:t>
      </w:r>
      <w:r w:rsidR="00976ADC">
        <w:t>causal impact pathways</w:t>
      </w:r>
      <w:r w:rsidR="00962A12">
        <w:t xml:space="preserve"> (section 3.1) illustrated in appropriate conceptual models, and use information from desktop analyses and field surveys (sections 5 and 6) to identify likely GDEs, their ecological water requirements, baseline conditions and ecosystem values. From this information,</w:t>
      </w:r>
      <w:r w:rsidR="0055414D">
        <w:t xml:space="preserve"> potential </w:t>
      </w:r>
      <w:r w:rsidR="00962A12">
        <w:t>threats and risks</w:t>
      </w:r>
      <w:r w:rsidR="00B57F2F">
        <w:t xml:space="preserve"> are assessed</w:t>
      </w:r>
      <w:r w:rsidR="00962A12">
        <w:t xml:space="preserve"> (section 7) </w:t>
      </w:r>
      <w:r w:rsidR="00B57F2F">
        <w:t xml:space="preserve">so that options to </w:t>
      </w:r>
      <w:r w:rsidR="00AD688C">
        <w:t>avoid</w:t>
      </w:r>
      <w:r w:rsidR="00B57F2F">
        <w:t xml:space="preserve"> or </w:t>
      </w:r>
      <w:r w:rsidR="00CB4400">
        <w:t>mitigat</w:t>
      </w:r>
      <w:r w:rsidR="00B57F2F">
        <w:t>e impacts can be presented and justified.</w:t>
      </w:r>
      <w:r w:rsidR="00B57F2F" w:rsidDel="00B57F2F">
        <w:t xml:space="preserve"> </w:t>
      </w:r>
    </w:p>
    <w:p w14:paraId="31C8BCEA" w14:textId="77777777" w:rsidR="00173E4F" w:rsidRDefault="00173E4F" w:rsidP="00173E4F">
      <w:pPr>
        <w:pStyle w:val="BodyText"/>
      </w:pPr>
      <w:r>
        <w:t xml:space="preserve">Research and monitoring </w:t>
      </w:r>
      <w:r w:rsidR="00B57F2F">
        <w:t xml:space="preserve">are </w:t>
      </w:r>
      <w:r>
        <w:t xml:space="preserve">fundamental to inform the management plan and develop </w:t>
      </w:r>
      <w:r w:rsidR="00B57F2F">
        <w:t xml:space="preserve">sampling </w:t>
      </w:r>
      <w:r>
        <w:t>regimes to assess GDEs against baseline conditions</w:t>
      </w:r>
      <w:r w:rsidR="00AD688C">
        <w:t xml:space="preserve"> </w:t>
      </w:r>
      <w:r w:rsidR="00B57F2F">
        <w:t xml:space="preserve">and reference sites </w:t>
      </w:r>
      <w:r w:rsidR="00AD688C">
        <w:t>(Section 6)</w:t>
      </w:r>
      <w:r>
        <w:t xml:space="preserve">. All phases of operation should detail management control measures for each GDE against issues that might change as a result of </w:t>
      </w:r>
      <w:r w:rsidR="00AF15AF">
        <w:t>CSG or LCM activities</w:t>
      </w:r>
      <w:r w:rsidR="00A73557">
        <w:t>,</w:t>
      </w:r>
      <w:r>
        <w:t xml:space="preserve"> such as groundwater drawdown, pest invasion and fire. The plan must establish a monitoring protocol with </w:t>
      </w:r>
      <w:r w:rsidR="00B57F2F">
        <w:t xml:space="preserve">sampling at a </w:t>
      </w:r>
      <w:r>
        <w:t>suitable frequency to detect change</w:t>
      </w:r>
      <w:r w:rsidR="00B57F2F">
        <w:t xml:space="preserve"> in condition of taxa</w:t>
      </w:r>
      <w:r>
        <w:t xml:space="preserve"> such as threatened flora species</w:t>
      </w:r>
      <w:r w:rsidR="00AD688C">
        <w:t xml:space="preserve"> (</w:t>
      </w:r>
      <w:r w:rsidR="00301D7B">
        <w:t>s</w:t>
      </w:r>
      <w:r w:rsidR="00AD688C">
        <w:t>ection 6.3)</w:t>
      </w:r>
      <w:r>
        <w:t>.</w:t>
      </w:r>
    </w:p>
    <w:p w14:paraId="31C8BCEB" w14:textId="77777777" w:rsidR="00173E4F" w:rsidRDefault="00173E4F" w:rsidP="00B156DB">
      <w:pPr>
        <w:pStyle w:val="BodyText"/>
      </w:pPr>
      <w:r>
        <w:t xml:space="preserve">If </w:t>
      </w:r>
      <w:r w:rsidR="00BE01B7">
        <w:t xml:space="preserve">some </w:t>
      </w:r>
      <w:r>
        <w:t>change to condition occurs</w:t>
      </w:r>
      <w:r w:rsidR="00B57F2F">
        <w:t xml:space="preserve"> or is predicted</w:t>
      </w:r>
      <w:r w:rsidR="00544659">
        <w:t>,</w:t>
      </w:r>
      <w:r>
        <w:t xml:space="preserve"> </w:t>
      </w:r>
      <w:r w:rsidR="00B57F2F">
        <w:t xml:space="preserve">mitigation </w:t>
      </w:r>
      <w:r>
        <w:t xml:space="preserve">measures must be detailed for each GDE which outline what a trigger </w:t>
      </w:r>
      <w:r w:rsidR="00B57F2F">
        <w:t xml:space="preserve">for corrective action </w:t>
      </w:r>
      <w:r>
        <w:t>might be (</w:t>
      </w:r>
      <w:r w:rsidR="00BF32D0">
        <w:t xml:space="preserve">e.g. </w:t>
      </w:r>
      <w:r>
        <w:t>dra</w:t>
      </w:r>
      <w:r w:rsidR="003B6D8F">
        <w:t>wdown in the vicinity of a spring complex exceed</w:t>
      </w:r>
      <w:r w:rsidR="00B57F2F">
        <w:t>ing</w:t>
      </w:r>
      <w:r w:rsidR="003B6D8F">
        <w:t xml:space="preserve"> a t</w:t>
      </w:r>
      <w:r w:rsidR="00B57F2F">
        <w:t>hreshold</w:t>
      </w:r>
      <w:r w:rsidR="003B6D8F">
        <w:t xml:space="preserve"> level that is determined through research and monitoring)</w:t>
      </w:r>
      <w:r w:rsidR="00B57F2F">
        <w:t>. The</w:t>
      </w:r>
      <w:r w:rsidR="003B6D8F">
        <w:t xml:space="preserve"> corrective action</w:t>
      </w:r>
      <w:r w:rsidR="00B57F2F">
        <w:t xml:space="preserve"> should </w:t>
      </w:r>
      <w:r w:rsidR="00BE01B7">
        <w:t xml:space="preserve">also </w:t>
      </w:r>
      <w:r w:rsidR="00B57F2F">
        <w:t>be described in full, and often involves</w:t>
      </w:r>
      <w:r w:rsidR="003B6D8F">
        <w:t xml:space="preserve"> </w:t>
      </w:r>
      <w:r w:rsidR="00BE01B7">
        <w:t xml:space="preserve">some form of </w:t>
      </w:r>
      <w:r w:rsidR="003B6D8F">
        <w:t>adaptive management</w:t>
      </w:r>
      <w:r w:rsidR="00B57F2F">
        <w:t>. For example,</w:t>
      </w:r>
      <w:r w:rsidR="00BF32D0">
        <w:t xml:space="preserve"> </w:t>
      </w:r>
      <w:r w:rsidR="00544659">
        <w:t xml:space="preserve">monitoring </w:t>
      </w:r>
      <w:r w:rsidR="00B57F2F">
        <w:t xml:space="preserve">could be repeated </w:t>
      </w:r>
      <w:r w:rsidR="00544659">
        <w:t>immediately</w:t>
      </w:r>
      <w:r w:rsidR="00B57F2F">
        <w:t xml:space="preserve"> and</w:t>
      </w:r>
      <w:r w:rsidR="00544659">
        <w:t xml:space="preserve"> if non-compliant results </w:t>
      </w:r>
      <w:r w:rsidR="00BE01B7">
        <w:t>re</w:t>
      </w:r>
      <w:r w:rsidR="00544659">
        <w:t>cur</w:t>
      </w:r>
      <w:r w:rsidR="009415D6">
        <w:t>,</w:t>
      </w:r>
      <w:r w:rsidR="00544659">
        <w:t xml:space="preserve"> an incident report and investigation </w:t>
      </w:r>
      <w:r w:rsidR="00B57F2F">
        <w:t>could</w:t>
      </w:r>
      <w:r w:rsidR="00544659">
        <w:t xml:space="preserve"> commence</w:t>
      </w:r>
      <w:r w:rsidR="00BE01B7">
        <w:t xml:space="preserve"> that leads to implementation of suitable</w:t>
      </w:r>
      <w:r w:rsidR="00544659">
        <w:t xml:space="preserve"> corrective action identified as part of the </w:t>
      </w:r>
      <w:r w:rsidR="00BE01B7">
        <w:t>mitigation strategy</w:t>
      </w:r>
      <w:r w:rsidR="00544659">
        <w:t>.</w:t>
      </w:r>
    </w:p>
    <w:p w14:paraId="31C8BCEC" w14:textId="77777777" w:rsidR="00D24A32" w:rsidRDefault="00D24A32" w:rsidP="00B156DB">
      <w:pPr>
        <w:pStyle w:val="BodyText"/>
      </w:pPr>
      <w:r>
        <w:t>The management plan should consider any opportunities to improve condition of GDEs even if they have become degraded through historical land</w:t>
      </w:r>
      <w:r w:rsidR="00AD688C">
        <w:t xml:space="preserve"> </w:t>
      </w:r>
      <w:r>
        <w:t>use, both inside and around the</w:t>
      </w:r>
      <w:r w:rsidR="009415D6">
        <w:t xml:space="preserve"> project</w:t>
      </w:r>
      <w:r>
        <w:t xml:space="preserve"> impact </w:t>
      </w:r>
      <w:r w:rsidR="00BE01B7">
        <w:t>area</w:t>
      </w:r>
      <w:r>
        <w:t>. This will enhance the overall biodiversity values</w:t>
      </w:r>
      <w:r w:rsidR="00BE01B7">
        <w:t xml:space="preserve"> and ecological condition of the area</w:t>
      </w:r>
      <w:r>
        <w:t>.</w:t>
      </w:r>
    </w:p>
    <w:p w14:paraId="31C8BCED" w14:textId="77777777" w:rsidR="00CB4400" w:rsidRDefault="00CB4400" w:rsidP="00F3119C">
      <w:pPr>
        <w:pStyle w:val="Heading3"/>
      </w:pPr>
      <w:bookmarkStart w:id="78" w:name="_Toc509996493"/>
      <w:r>
        <w:t>Objectives and indicators of management plans</w:t>
      </w:r>
      <w:bookmarkEnd w:id="78"/>
    </w:p>
    <w:p w14:paraId="31C8BCEE" w14:textId="77777777" w:rsidR="001223DC" w:rsidRDefault="001223DC" w:rsidP="001223DC">
      <w:pPr>
        <w:pStyle w:val="BodyText"/>
      </w:pPr>
      <w:r>
        <w:t xml:space="preserve">The key objective of a management plan is to present actions and procedures that need to be followed during all phases of </w:t>
      </w:r>
      <w:r w:rsidR="00AF15AF">
        <w:t xml:space="preserve">CSG or LCM activities </w:t>
      </w:r>
      <w:r>
        <w:t xml:space="preserve">to </w:t>
      </w:r>
      <w:r w:rsidR="00476C34">
        <w:t xml:space="preserve">avoid or </w:t>
      </w:r>
      <w:r>
        <w:t xml:space="preserve">mitigate adverse impacts on GDEs. </w:t>
      </w:r>
      <w:r w:rsidR="0083670A">
        <w:t>Performance</w:t>
      </w:r>
      <w:r>
        <w:t xml:space="preserve"> indicators </w:t>
      </w:r>
      <w:r w:rsidR="0083670A">
        <w:t>guide the management and protection of GDEs and are development</w:t>
      </w:r>
      <w:r w:rsidR="00AF15AF">
        <w:t>-</w:t>
      </w:r>
      <w:r w:rsidR="0083670A">
        <w:t>specific. Example indic</w:t>
      </w:r>
      <w:r w:rsidR="00476C34">
        <w:t>a</w:t>
      </w:r>
      <w:r w:rsidR="0083670A">
        <w:t>tors</w:t>
      </w:r>
      <w:r w:rsidR="00D92F87">
        <w:t xml:space="preserve"> </w:t>
      </w:r>
      <w:r w:rsidR="00D94D1E">
        <w:t>given in</w:t>
      </w:r>
      <w:r w:rsidR="00D92F87">
        <w:t xml:space="preserve"> GHD (2013)</w:t>
      </w:r>
      <w:r w:rsidR="0083670A">
        <w:t xml:space="preserve"> include</w:t>
      </w:r>
      <w:r w:rsidR="00AF15AF">
        <w:t>:</w:t>
      </w:r>
    </w:p>
    <w:p w14:paraId="31C8BCEF" w14:textId="77777777" w:rsidR="0083670A" w:rsidRDefault="009415D6" w:rsidP="00F1192F">
      <w:pPr>
        <w:pStyle w:val="BodyText"/>
        <w:numPr>
          <w:ilvl w:val="0"/>
          <w:numId w:val="23"/>
        </w:numPr>
      </w:pPr>
      <w:r>
        <w:t>i</w:t>
      </w:r>
      <w:r w:rsidR="0083670A">
        <w:t>mpacts on GDEs do not cause unacceptable or unapproved loss of biodiversity values</w:t>
      </w:r>
    </w:p>
    <w:p w14:paraId="31C8BCF0" w14:textId="77777777" w:rsidR="0083670A" w:rsidRDefault="009415D6" w:rsidP="00F1192F">
      <w:pPr>
        <w:pStyle w:val="BodyText"/>
        <w:numPr>
          <w:ilvl w:val="0"/>
          <w:numId w:val="23"/>
        </w:numPr>
      </w:pPr>
      <w:r>
        <w:t>d</w:t>
      </w:r>
      <w:r w:rsidR="0083670A">
        <w:t>ownstream flow changes remain within natural fluctuations</w:t>
      </w:r>
    </w:p>
    <w:p w14:paraId="31C8BCF1" w14:textId="77777777" w:rsidR="0083670A" w:rsidRDefault="009415D6" w:rsidP="00F1192F">
      <w:pPr>
        <w:pStyle w:val="BodyText"/>
        <w:numPr>
          <w:ilvl w:val="0"/>
          <w:numId w:val="23"/>
        </w:numPr>
      </w:pPr>
      <w:proofErr w:type="gramStart"/>
      <w:r>
        <w:lastRenderedPageBreak/>
        <w:t>e</w:t>
      </w:r>
      <w:r w:rsidR="0083670A">
        <w:t>nvironmental</w:t>
      </w:r>
      <w:proofErr w:type="gramEnd"/>
      <w:r w:rsidR="0083670A">
        <w:t xml:space="preserve"> values relating to aquatic ecosystems, stock and domestic use</w:t>
      </w:r>
      <w:r w:rsidR="00BE01B7">
        <w:t>,</w:t>
      </w:r>
      <w:r w:rsidR="0083670A">
        <w:t xml:space="preserve"> and cultural values are maintained</w:t>
      </w:r>
      <w:r w:rsidR="00301D7B">
        <w:t>.</w:t>
      </w:r>
    </w:p>
    <w:p w14:paraId="31C8BCF2" w14:textId="77777777" w:rsidR="00D94D1E" w:rsidRDefault="00D94D1E" w:rsidP="00F3119C">
      <w:pPr>
        <w:pStyle w:val="Heading3"/>
      </w:pPr>
      <w:bookmarkStart w:id="79" w:name="_Ref507680008"/>
      <w:bookmarkStart w:id="80" w:name="_Toc509996494"/>
      <w:r>
        <w:t>Avoidance</w:t>
      </w:r>
      <w:bookmarkEnd w:id="79"/>
      <w:bookmarkEnd w:id="80"/>
    </w:p>
    <w:p w14:paraId="31C8BCF3" w14:textId="77777777" w:rsidR="003B6D8F" w:rsidRDefault="00DC40DC" w:rsidP="003B6D8F">
      <w:pPr>
        <w:pStyle w:val="BodyText"/>
      </w:pPr>
      <w:r>
        <w:t>A</w:t>
      </w:r>
      <w:r w:rsidR="003B6D8F">
        <w:t>void</w:t>
      </w:r>
      <w:r w:rsidR="00BE01B7">
        <w:t>ance</w:t>
      </w:r>
      <w:r w:rsidR="003B6D8F">
        <w:t xml:space="preserve"> is the preferred option for preventing significant impact </w:t>
      </w:r>
      <w:r>
        <w:t>to</w:t>
      </w:r>
      <w:r w:rsidR="00476C34">
        <w:t xml:space="preserve"> all</w:t>
      </w:r>
      <w:r>
        <w:t xml:space="preserve"> GDEs</w:t>
      </w:r>
      <w:r w:rsidR="00476C34">
        <w:t>, especially high</w:t>
      </w:r>
      <w:r w:rsidR="00BE01B7">
        <w:t>-</w:t>
      </w:r>
      <w:r w:rsidR="00476C34">
        <w:t>value ones</w:t>
      </w:r>
      <w:r w:rsidR="000C1732">
        <w:t xml:space="preserve">. Avoidance involves comprehensive planning to select access routes and development sites which will </w:t>
      </w:r>
      <w:r w:rsidR="00BE01B7">
        <w:t xml:space="preserve">avoid </w:t>
      </w:r>
      <w:r w:rsidR="000C1732">
        <w:t>impacts to GDEs. This might in</w:t>
      </w:r>
      <w:r>
        <w:t xml:space="preserve">clude altering a road, rail or pipeline alignment </w:t>
      </w:r>
      <w:r w:rsidR="000C1732">
        <w:t>to avoid remov</w:t>
      </w:r>
      <w:r>
        <w:t>ing</w:t>
      </w:r>
      <w:r w:rsidR="000C1732">
        <w:t xml:space="preserve"> </w:t>
      </w:r>
      <w:r w:rsidR="00BE01B7">
        <w:t xml:space="preserve">a </w:t>
      </w:r>
      <w:r w:rsidR="000C1732">
        <w:t>vege</w:t>
      </w:r>
      <w:r>
        <w:t>tation GDE,</w:t>
      </w:r>
      <w:r w:rsidR="000C1732">
        <w:t xml:space="preserve"> or revising mine location or aspect to reduce impact area or magnitude. Mine dewatering plans might require alteration to avoid impacts related to timing, extent or magnitude of dewatering</w:t>
      </w:r>
      <w:r w:rsidR="00BE01B7">
        <w:t xml:space="preserve"> that may impair</w:t>
      </w:r>
      <w:r w:rsidR="000C1732">
        <w:t xml:space="preserve"> </w:t>
      </w:r>
      <w:r w:rsidR="00F14B5A">
        <w:t>hydrological link</w:t>
      </w:r>
      <w:r w:rsidR="00BE01B7">
        <w:t>s</w:t>
      </w:r>
      <w:r w:rsidR="00F14B5A">
        <w:t xml:space="preserve"> to GDEs.</w:t>
      </w:r>
    </w:p>
    <w:p w14:paraId="31C8BCF4" w14:textId="77777777" w:rsidR="00D27FDC" w:rsidRDefault="00D27FDC" w:rsidP="003B6D8F">
      <w:pPr>
        <w:pStyle w:val="BodyText"/>
      </w:pPr>
      <w:r>
        <w:t>If significant impacts can be avoided, the need for mitigation and offsets to provide environmental benefits to counterbalance the impacts can also be avoided.</w:t>
      </w:r>
    </w:p>
    <w:p w14:paraId="31C8BCF5" w14:textId="77777777" w:rsidR="001D400D" w:rsidRDefault="001D400D" w:rsidP="003B6D8F">
      <w:pPr>
        <w:pStyle w:val="BodyText"/>
      </w:pPr>
    </w:p>
    <w:p w14:paraId="31C8BCF6" w14:textId="77777777" w:rsidR="00C0499C" w:rsidRDefault="00C0499C" w:rsidP="00C0499C">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t>RECOMMENDATION: Avoidance of impacts to GDEs is the preferred option for preventing significant impacts</w:t>
      </w:r>
      <w:r w:rsidR="00BE01B7">
        <w:t xml:space="preserve"> from CSG and LCM activities</w:t>
      </w:r>
      <w:r>
        <w:t>.</w:t>
      </w:r>
    </w:p>
    <w:p w14:paraId="31C8BCF7" w14:textId="77777777" w:rsidR="00D27FDC" w:rsidRPr="003B6D8F" w:rsidRDefault="00D27FDC" w:rsidP="00F3119C">
      <w:pPr>
        <w:pStyle w:val="Heading3"/>
      </w:pPr>
      <w:bookmarkStart w:id="81" w:name="_Ref507679951"/>
      <w:bookmarkStart w:id="82" w:name="_Toc509996495"/>
      <w:r>
        <w:t>Mitigation</w:t>
      </w:r>
      <w:bookmarkEnd w:id="81"/>
      <w:bookmarkEnd w:id="82"/>
    </w:p>
    <w:p w14:paraId="31C8BCF8" w14:textId="77777777" w:rsidR="00D94D1E" w:rsidRDefault="00D62097" w:rsidP="00D94D1E">
      <w:pPr>
        <w:pStyle w:val="BodyText"/>
      </w:pPr>
      <w:r>
        <w:rPr>
          <w:noProof/>
        </w:rPr>
        <w:drawing>
          <wp:anchor distT="0" distB="0" distL="114300" distR="114300" simplePos="0" relativeHeight="251856384" behindDoc="1" locked="0" layoutInCell="1" allowOverlap="1" wp14:anchorId="31C8C312" wp14:editId="31C8C313">
            <wp:simplePos x="0" y="0"/>
            <wp:positionH relativeFrom="margin">
              <wp:align>left</wp:align>
            </wp:positionH>
            <wp:positionV relativeFrom="paragraph">
              <wp:posOffset>36358</wp:posOffset>
            </wp:positionV>
            <wp:extent cx="2638425" cy="1758950"/>
            <wp:effectExtent l="0" t="0" r="9525" b="0"/>
            <wp:wrapTight wrapText="bothSides">
              <wp:wrapPolygon edited="0">
                <wp:start x="0" y="0"/>
                <wp:lineTo x="0" y="21288"/>
                <wp:lineTo x="21522" y="21288"/>
                <wp:lineTo x="21522" y="0"/>
                <wp:lineTo x="0" y="0"/>
              </wp:wrapPolygon>
            </wp:wrapTight>
            <wp:docPr id="4" name="Picture 4" descr="N:\Projects\17ARM\8960 GDE paper for IESC on CSG and large Coal mining\pics\GW fed sw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rojects\17ARM\8960 GDE paper for IESC on CSG and large Coal mining\pics\GW fed swamp.JPG"/>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2638425"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92A">
        <w:t xml:space="preserve">Mitigation is </w:t>
      </w:r>
      <w:r w:rsidR="00572FFD">
        <w:t>the</w:t>
      </w:r>
      <w:r w:rsidR="00B8392A">
        <w:t xml:space="preserve"> reduction of all </w:t>
      </w:r>
      <w:r w:rsidR="00476C34">
        <w:t>un</w:t>
      </w:r>
      <w:r w:rsidR="00B8392A">
        <w:t>avoidable impacts as much as possible</w:t>
      </w:r>
      <w:r w:rsidR="00DD27CA">
        <w:t xml:space="preserve"> (see CASE </w:t>
      </w:r>
      <w:proofErr w:type="spellStart"/>
      <w:r w:rsidR="00DD27CA">
        <w:t>STUDy</w:t>
      </w:r>
      <w:proofErr w:type="spellEnd"/>
      <w:r w:rsidR="00DD27CA">
        <w:t xml:space="preserve"> 8 for an example)</w:t>
      </w:r>
      <w:r w:rsidR="00B8392A">
        <w:t xml:space="preserve">. While avoidance is the preferred management option, usually CSG and LCM </w:t>
      </w:r>
      <w:r w:rsidR="00222BAF">
        <w:t xml:space="preserve">activities </w:t>
      </w:r>
      <w:r w:rsidR="00B8392A">
        <w:t>will have some impact</w:t>
      </w:r>
      <w:r w:rsidR="009067F4">
        <w:t>s</w:t>
      </w:r>
      <w:r w:rsidR="00B8392A">
        <w:t xml:space="preserve"> on GDEs which will need to be reduced through mitigation measures</w:t>
      </w:r>
      <w:r w:rsidR="00570715">
        <w:t>.</w:t>
      </w:r>
    </w:p>
    <w:p w14:paraId="31C8BCF9" w14:textId="77777777" w:rsidR="00570715" w:rsidRDefault="00570715" w:rsidP="00D94D1E">
      <w:pPr>
        <w:pStyle w:val="BodyText"/>
      </w:pPr>
      <w:r>
        <w:t xml:space="preserve">Where it is </w:t>
      </w:r>
      <w:r w:rsidR="00F0302B">
        <w:t>determined</w:t>
      </w:r>
      <w:r>
        <w:t xml:space="preserve"> that</w:t>
      </w:r>
      <w:r w:rsidR="009067F4">
        <w:t xml:space="preserve"> </w:t>
      </w:r>
      <w:r w:rsidR="00222BAF">
        <w:t xml:space="preserve">loss or mortality of </w:t>
      </w:r>
      <w:r w:rsidR="004F60BB">
        <w:t>groundwater-dependent</w:t>
      </w:r>
      <w:r>
        <w:t xml:space="preserve"> vegetation and fauna is likely to occur, it is critical to actively manage and enhance the</w:t>
      </w:r>
      <w:r w:rsidR="00A16DF6">
        <w:t xml:space="preserve"> ecological values that characterise the project </w:t>
      </w:r>
      <w:r w:rsidR="00222BAF">
        <w:t xml:space="preserve">impact </w:t>
      </w:r>
      <w:r w:rsidR="00A16DF6">
        <w:t>area and surrounding landscape</w:t>
      </w:r>
      <w:r>
        <w:t xml:space="preserve"> </w:t>
      </w:r>
      <w:r w:rsidR="00AF15AF">
        <w:t>before</w:t>
      </w:r>
      <w:r>
        <w:t xml:space="preserve"> and during operation</w:t>
      </w:r>
      <w:r w:rsidR="00222BAF">
        <w:t>s</w:t>
      </w:r>
      <w:r>
        <w:t xml:space="preserve"> to reduce the overall impact on biodiversity values.</w:t>
      </w:r>
    </w:p>
    <w:p w14:paraId="31C8BCFA" w14:textId="77777777" w:rsidR="00570715" w:rsidRDefault="00171D85" w:rsidP="00D94D1E">
      <w:pPr>
        <w:pStyle w:val="BodyText"/>
      </w:pPr>
      <w:r>
        <w:t xml:space="preserve">Mitigation actions include </w:t>
      </w:r>
      <w:r w:rsidRPr="00170CC7">
        <w:t xml:space="preserve">supplementing reduced hydrological connectivity to riparian GDEs with treated water recovered during </w:t>
      </w:r>
      <w:r w:rsidR="00222BAF">
        <w:t>CSG and LCM activities</w:t>
      </w:r>
      <w:r w:rsidR="009067F4">
        <w:t>,</w:t>
      </w:r>
      <w:r>
        <w:t xml:space="preserve"> </w:t>
      </w:r>
      <w:r w:rsidR="00222BAF">
        <w:t xml:space="preserve">removing </w:t>
      </w:r>
      <w:r>
        <w:t>weed</w:t>
      </w:r>
      <w:r w:rsidR="00222BAF">
        <w:t>s</w:t>
      </w:r>
      <w:r>
        <w:t xml:space="preserve"> and pest</w:t>
      </w:r>
      <w:r w:rsidR="00222BAF">
        <w:t>s, and controlling</w:t>
      </w:r>
      <w:r>
        <w:t xml:space="preserve"> sediment erosion</w:t>
      </w:r>
      <w:r w:rsidR="004E449B">
        <w:t>.</w:t>
      </w:r>
    </w:p>
    <w:p w14:paraId="31C8BCFB" w14:textId="77777777" w:rsidR="00F40B9D" w:rsidRDefault="00F40B9D" w:rsidP="00D94D1E">
      <w:pPr>
        <w:pStyle w:val="BodyText"/>
      </w:pPr>
      <w:r>
        <w:t>Mitigation strategies must be supported by:</w:t>
      </w:r>
    </w:p>
    <w:p w14:paraId="31C8BCFC" w14:textId="77777777" w:rsidR="00570715" w:rsidRPr="00F40B9D" w:rsidRDefault="00F40B9D" w:rsidP="00F1192F">
      <w:pPr>
        <w:pStyle w:val="BodyText"/>
        <w:numPr>
          <w:ilvl w:val="0"/>
          <w:numId w:val="24"/>
        </w:numPr>
      </w:pPr>
      <w:r w:rsidRPr="00F40B9D">
        <w:t>scientific literature and case</w:t>
      </w:r>
      <w:r w:rsidR="00222BAF">
        <w:t xml:space="preserve"> studie</w:t>
      </w:r>
      <w:r w:rsidRPr="00F40B9D">
        <w:t>s where the strategy has been successful</w:t>
      </w:r>
    </w:p>
    <w:p w14:paraId="31C8BCFD" w14:textId="77777777" w:rsidR="003217B8" w:rsidRPr="00F40B9D" w:rsidRDefault="00F40B9D" w:rsidP="00F1192F">
      <w:pPr>
        <w:pStyle w:val="BodyText"/>
        <w:numPr>
          <w:ilvl w:val="0"/>
          <w:numId w:val="24"/>
        </w:numPr>
      </w:pPr>
      <w:r w:rsidRPr="00F40B9D">
        <w:t>a justification of</w:t>
      </w:r>
      <w:r w:rsidR="003217B8" w:rsidRPr="00F40B9D">
        <w:t xml:space="preserve"> why and how the </w:t>
      </w:r>
      <w:r w:rsidRPr="00F40B9D">
        <w:t>proposed mitigation measures will be successful</w:t>
      </w:r>
      <w:r w:rsidR="00222BAF">
        <w:t>,</w:t>
      </w:r>
      <w:r w:rsidR="009067F4">
        <w:t xml:space="preserve"> using the causal pathways </w:t>
      </w:r>
      <w:r w:rsidR="00222BAF">
        <w:t xml:space="preserve">shown </w:t>
      </w:r>
      <w:r w:rsidR="009067F4">
        <w:t>in conceptual mo</w:t>
      </w:r>
      <w:r w:rsidR="00222BAF">
        <w:t>delling</w:t>
      </w:r>
    </w:p>
    <w:p w14:paraId="31C8BCFE" w14:textId="77777777" w:rsidR="003217B8" w:rsidRPr="00F40B9D" w:rsidRDefault="00F40B9D" w:rsidP="00F1192F">
      <w:pPr>
        <w:pStyle w:val="BodyText"/>
        <w:numPr>
          <w:ilvl w:val="0"/>
          <w:numId w:val="24"/>
        </w:numPr>
      </w:pPr>
      <w:r w:rsidRPr="00F40B9D">
        <w:t xml:space="preserve">a plan to monitor the </w:t>
      </w:r>
      <w:r w:rsidR="003217B8" w:rsidRPr="00F40B9D">
        <w:t xml:space="preserve">effectiveness of </w:t>
      </w:r>
      <w:r w:rsidRPr="00F40B9D">
        <w:t xml:space="preserve">the </w:t>
      </w:r>
      <w:r w:rsidR="003217B8" w:rsidRPr="00F40B9D">
        <w:t xml:space="preserve">mitigation </w:t>
      </w:r>
      <w:r w:rsidR="009A6A47">
        <w:t>by targeted monitoring of GDEs</w:t>
      </w:r>
      <w:r w:rsidR="003217B8" w:rsidRPr="00F40B9D">
        <w:t xml:space="preserve"> </w:t>
      </w:r>
    </w:p>
    <w:p w14:paraId="31C8BCFF" w14:textId="77777777" w:rsidR="00F40B9D" w:rsidRPr="00F40B9D" w:rsidRDefault="00F40B9D" w:rsidP="00F1192F">
      <w:pPr>
        <w:pStyle w:val="BodyText"/>
        <w:numPr>
          <w:ilvl w:val="0"/>
          <w:numId w:val="24"/>
        </w:numPr>
      </w:pPr>
      <w:r w:rsidRPr="00F40B9D">
        <w:t>a</w:t>
      </w:r>
      <w:r w:rsidR="009067F4">
        <w:t xml:space="preserve"> statement of how to determine whether</w:t>
      </w:r>
      <w:r w:rsidRPr="00F40B9D">
        <w:t xml:space="preserve"> a mitigation measure is a success or failure, highlighting how to detect early signs of failure or benchmarks against which success is determined</w:t>
      </w:r>
      <w:r w:rsidR="009A6A47">
        <w:t xml:space="preserve"> (e.g.</w:t>
      </w:r>
      <w:r w:rsidRPr="00F40B9D">
        <w:t xml:space="preserve"> no decline </w:t>
      </w:r>
      <w:r w:rsidR="009A6A47">
        <w:t xml:space="preserve">compared with </w:t>
      </w:r>
      <w:r w:rsidR="0095294F">
        <w:t>reference site</w:t>
      </w:r>
      <w:r w:rsidR="009A6A47">
        <w:t>s</w:t>
      </w:r>
      <w:r w:rsidR="0095294F">
        <w:t xml:space="preserve"> outside the impact zone</w:t>
      </w:r>
      <w:r w:rsidR="009A6A47">
        <w:t>)</w:t>
      </w:r>
    </w:p>
    <w:p w14:paraId="31C8BD00" w14:textId="77777777" w:rsidR="00F40B9D" w:rsidRDefault="00F40B9D" w:rsidP="00F1192F">
      <w:pPr>
        <w:pStyle w:val="BodyText"/>
        <w:numPr>
          <w:ilvl w:val="0"/>
          <w:numId w:val="24"/>
        </w:numPr>
      </w:pPr>
      <w:proofErr w:type="gramStart"/>
      <w:r w:rsidRPr="00F40B9D">
        <w:t>a</w:t>
      </w:r>
      <w:proofErr w:type="gramEnd"/>
      <w:r w:rsidRPr="00F40B9D">
        <w:t xml:space="preserve"> statement of the </w:t>
      </w:r>
      <w:r w:rsidR="003217B8" w:rsidRPr="00F40B9D">
        <w:t xml:space="preserve">management options </w:t>
      </w:r>
      <w:r w:rsidRPr="00F40B9D">
        <w:t>available if mitigation fails</w:t>
      </w:r>
      <w:r w:rsidR="00301D7B">
        <w:t>.</w:t>
      </w:r>
    </w:p>
    <w:p w14:paraId="31C8BD01" w14:textId="77777777" w:rsidR="001D400D" w:rsidRPr="00F40B9D" w:rsidRDefault="001D400D" w:rsidP="001D400D">
      <w:pPr>
        <w:pStyle w:val="BodyText"/>
        <w:ind w:left="720"/>
      </w:pPr>
    </w:p>
    <w:p w14:paraId="31C8BD02" w14:textId="77777777" w:rsidR="00AD688C" w:rsidRDefault="00AD688C" w:rsidP="00AD688C">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t>RECOMMENDATION: Mitigation strategies to prevent impacts to GDEs are critical when avoidance is not possible</w:t>
      </w:r>
      <w:r w:rsidR="009A6A47">
        <w:t>. These strategies are</w:t>
      </w:r>
      <w:r w:rsidR="00BB1DD0">
        <w:t xml:space="preserve"> required early in an EIA</w:t>
      </w:r>
      <w:r>
        <w:t xml:space="preserve"> to protect areas </w:t>
      </w:r>
      <w:r w:rsidR="009A6A47">
        <w:t xml:space="preserve">potentially </w:t>
      </w:r>
      <w:r>
        <w:t>at risk.</w:t>
      </w:r>
      <w:r w:rsidR="009A6A47">
        <w:t xml:space="preserve"> Targeted monitoring is needed to confirm the effectiveness of these mitigation strategies.</w:t>
      </w:r>
    </w:p>
    <w:p w14:paraId="31C8BD03" w14:textId="77777777" w:rsidR="00D706EC" w:rsidRDefault="00D706EC" w:rsidP="00D706EC">
      <w:r w:rsidRPr="00D706EC">
        <w:rPr>
          <w:b/>
        </w:rPr>
        <w:lastRenderedPageBreak/>
        <w:t>CASE STUDY</w:t>
      </w:r>
      <w:r w:rsidR="00DD27CA">
        <w:rPr>
          <w:b/>
        </w:rPr>
        <w:t xml:space="preserve"> 8</w:t>
      </w:r>
      <w:r w:rsidRPr="00D706EC">
        <w:rPr>
          <w:b/>
        </w:rPr>
        <w:t>:</w:t>
      </w:r>
      <w:r>
        <w:t xml:space="preserve"> </w:t>
      </w:r>
      <w:r w:rsidRPr="00D706EC">
        <w:rPr>
          <w:i/>
          <w:u w:val="single"/>
        </w:rPr>
        <w:t xml:space="preserve">Mitigation strategy for reduced spring flow: </w:t>
      </w:r>
      <w:proofErr w:type="spellStart"/>
      <w:r w:rsidRPr="00D706EC">
        <w:rPr>
          <w:i/>
          <w:u w:val="single"/>
        </w:rPr>
        <w:t>Weeli</w:t>
      </w:r>
      <w:proofErr w:type="spellEnd"/>
      <w:r w:rsidRPr="00D706EC">
        <w:rPr>
          <w:i/>
          <w:u w:val="single"/>
        </w:rPr>
        <w:t xml:space="preserve"> Wolli Creek</w:t>
      </w:r>
    </w:p>
    <w:p w14:paraId="31C8BD04" w14:textId="77777777" w:rsidR="00D706EC" w:rsidRPr="00D706EC" w:rsidRDefault="00D706EC" w:rsidP="00D706EC">
      <w:pPr>
        <w:pStyle w:val="BodyText"/>
        <w:rPr>
          <w:i/>
        </w:rPr>
      </w:pPr>
      <w:proofErr w:type="spellStart"/>
      <w:r w:rsidRPr="00D706EC">
        <w:rPr>
          <w:i/>
        </w:rPr>
        <w:t>Weeli</w:t>
      </w:r>
      <w:proofErr w:type="spellEnd"/>
      <w:r w:rsidRPr="00D706EC">
        <w:rPr>
          <w:i/>
        </w:rPr>
        <w:t xml:space="preserve"> Wolli Creek system, located in the Pilbara, north Western Australia, is a source of permanent water in a dry landscape. The creek system, including a spring and pools, is considered a high priority ecosystem because it supports a unique community of vegetation and fauna, some species of which are endemic to the spring. In 2009, the spring was nominated for listing as a Threatened Ecological Community at the State level, on the basis of floristic communities as well as the diverse aquatic invertebrate and significant stygofauna communities (van </w:t>
      </w:r>
      <w:proofErr w:type="spellStart"/>
      <w:r w:rsidRPr="00D706EC">
        <w:rPr>
          <w:i/>
        </w:rPr>
        <w:t>Leeuwen</w:t>
      </w:r>
      <w:proofErr w:type="spellEnd"/>
      <w:r w:rsidRPr="00D706EC">
        <w:rPr>
          <w:i/>
        </w:rPr>
        <w:t xml:space="preserve">, 2009). Furthermore, </w:t>
      </w:r>
      <w:proofErr w:type="spellStart"/>
      <w:r w:rsidRPr="00D706EC">
        <w:rPr>
          <w:i/>
        </w:rPr>
        <w:t>Weeli</w:t>
      </w:r>
      <w:proofErr w:type="spellEnd"/>
      <w:r w:rsidRPr="00D706EC">
        <w:rPr>
          <w:i/>
        </w:rPr>
        <w:t xml:space="preserve"> Wolli Creek has considerable spiritual and cultural value to the Traditional Owners. There are five active mines in </w:t>
      </w:r>
      <w:proofErr w:type="spellStart"/>
      <w:r w:rsidRPr="00D706EC">
        <w:rPr>
          <w:i/>
        </w:rPr>
        <w:t>Weeli</w:t>
      </w:r>
      <w:proofErr w:type="spellEnd"/>
      <w:r w:rsidRPr="00D706EC">
        <w:rPr>
          <w:i/>
        </w:rPr>
        <w:t xml:space="preserve"> Wolli catchment.</w:t>
      </w:r>
    </w:p>
    <w:p w14:paraId="31C8BD05" w14:textId="77777777" w:rsidR="00D706EC" w:rsidRPr="00D706EC" w:rsidRDefault="00D706EC" w:rsidP="00D706EC">
      <w:pPr>
        <w:pStyle w:val="BodyText"/>
        <w:rPr>
          <w:i/>
        </w:rPr>
      </w:pPr>
      <w:r w:rsidRPr="00D706EC">
        <w:rPr>
          <w:i/>
        </w:rPr>
        <w:t xml:space="preserve">Under natural conditions, most creeks in the Pilbara are ephemeral, with flow only occurring after occasional intense rainfall events. However, groundwater discharge from </w:t>
      </w:r>
      <w:proofErr w:type="spellStart"/>
      <w:r w:rsidRPr="00D706EC">
        <w:rPr>
          <w:i/>
        </w:rPr>
        <w:t>Weeli</w:t>
      </w:r>
      <w:proofErr w:type="spellEnd"/>
      <w:r w:rsidRPr="00D706EC">
        <w:rPr>
          <w:i/>
        </w:rPr>
        <w:t xml:space="preserve"> Wolli Spring maintained perennial creek flow for approximately 2 km, becoming ephemeral further downstream. Permanent pools were also present on the creek bed near the spring. The perennial spring discharge was episodically swamped by peak storm-derived creek flow.</w:t>
      </w:r>
    </w:p>
    <w:p w14:paraId="31C8BD06" w14:textId="77777777" w:rsidR="00D706EC" w:rsidRPr="00D706EC" w:rsidRDefault="00D706EC" w:rsidP="00D706EC">
      <w:pPr>
        <w:pStyle w:val="BodyText"/>
        <w:rPr>
          <w:i/>
        </w:rPr>
      </w:pPr>
      <w:proofErr w:type="spellStart"/>
      <w:r w:rsidRPr="00D706EC">
        <w:rPr>
          <w:i/>
        </w:rPr>
        <w:t>Weeli</w:t>
      </w:r>
      <w:proofErr w:type="spellEnd"/>
      <w:r w:rsidRPr="00D706EC">
        <w:rPr>
          <w:i/>
        </w:rPr>
        <w:t xml:space="preserve"> Wolli Spring woodland includes known obligate (Melaleuca </w:t>
      </w:r>
      <w:proofErr w:type="spellStart"/>
      <w:r w:rsidRPr="00D706EC">
        <w:rPr>
          <w:i/>
        </w:rPr>
        <w:t>argentea</w:t>
      </w:r>
      <w:proofErr w:type="spellEnd"/>
      <w:r w:rsidRPr="00D706EC">
        <w:rPr>
          <w:i/>
        </w:rPr>
        <w:t xml:space="preserve">) and facultative (E. </w:t>
      </w:r>
      <w:proofErr w:type="spellStart"/>
      <w:r w:rsidRPr="00D706EC">
        <w:rPr>
          <w:i/>
        </w:rPr>
        <w:t>camaldulen</w:t>
      </w:r>
      <w:r w:rsidR="004F5750">
        <w:rPr>
          <w:i/>
        </w:rPr>
        <w:t>sis</w:t>
      </w:r>
      <w:proofErr w:type="spellEnd"/>
      <w:r w:rsidR="004F5750">
        <w:rPr>
          <w:i/>
        </w:rPr>
        <w:t xml:space="preserve"> and E. </w:t>
      </w:r>
      <w:proofErr w:type="spellStart"/>
      <w:r w:rsidR="004F5750">
        <w:rPr>
          <w:i/>
        </w:rPr>
        <w:t>victrix</w:t>
      </w:r>
      <w:proofErr w:type="spellEnd"/>
      <w:r w:rsidR="004F5750">
        <w:rPr>
          <w:i/>
        </w:rPr>
        <w:t>) groundwater-</w:t>
      </w:r>
      <w:r w:rsidRPr="00D706EC">
        <w:rPr>
          <w:i/>
        </w:rPr>
        <w:t xml:space="preserve">dependent trees and a unique understorey for the area (including sedge and </w:t>
      </w:r>
      <w:proofErr w:type="spellStart"/>
      <w:r w:rsidRPr="00D706EC">
        <w:rPr>
          <w:i/>
        </w:rPr>
        <w:t>herbfield</w:t>
      </w:r>
      <w:proofErr w:type="spellEnd"/>
      <w:r w:rsidRPr="00D706EC">
        <w:rPr>
          <w:i/>
        </w:rPr>
        <w:t xml:space="preserve"> communities) that fringe many of the pools. The extent of these vegetation types are regularly disturbed by intense rainfall and flooding, which is also likely to instigate regeneration.</w:t>
      </w:r>
    </w:p>
    <w:p w14:paraId="31C8BD07" w14:textId="77777777" w:rsidR="00D706EC" w:rsidRPr="00D706EC" w:rsidRDefault="00D706EC" w:rsidP="00D706EC">
      <w:pPr>
        <w:pStyle w:val="BodyText"/>
        <w:rPr>
          <w:i/>
        </w:rPr>
      </w:pPr>
      <w:r w:rsidRPr="00D706EC">
        <w:rPr>
          <w:i/>
        </w:rPr>
        <w:t xml:space="preserve">The </w:t>
      </w:r>
      <w:proofErr w:type="spellStart"/>
      <w:r w:rsidRPr="00D706EC">
        <w:rPr>
          <w:i/>
        </w:rPr>
        <w:t>Weeli</w:t>
      </w:r>
      <w:proofErr w:type="spellEnd"/>
      <w:r w:rsidRPr="00D706EC">
        <w:rPr>
          <w:i/>
        </w:rPr>
        <w:t xml:space="preserve"> Wolli Creek catchment is rich in stygofauna, with 56 species recorded, most of which were around </w:t>
      </w:r>
      <w:proofErr w:type="spellStart"/>
      <w:r w:rsidRPr="00D706EC">
        <w:rPr>
          <w:i/>
        </w:rPr>
        <w:t>Weeli</w:t>
      </w:r>
      <w:proofErr w:type="spellEnd"/>
      <w:r w:rsidRPr="00D706EC">
        <w:rPr>
          <w:i/>
        </w:rPr>
        <w:t xml:space="preserve"> Wolli Spring (</w:t>
      </w:r>
      <w:proofErr w:type="spellStart"/>
      <w:r w:rsidRPr="00D706EC">
        <w:rPr>
          <w:i/>
        </w:rPr>
        <w:t>Bennelongia</w:t>
      </w:r>
      <w:proofErr w:type="spellEnd"/>
      <w:r w:rsidRPr="00D706EC">
        <w:rPr>
          <w:i/>
        </w:rPr>
        <w:t xml:space="preserve"> 2015). A number of creek line and </w:t>
      </w:r>
      <w:proofErr w:type="spellStart"/>
      <w:r w:rsidRPr="00D706EC">
        <w:rPr>
          <w:i/>
        </w:rPr>
        <w:t>hyporheic</w:t>
      </w:r>
      <w:proofErr w:type="spellEnd"/>
      <w:r w:rsidRPr="00D706EC">
        <w:rPr>
          <w:i/>
        </w:rPr>
        <w:t xml:space="preserve"> species of conservation and/or scientific value have been identified (WRM, 2015):</w:t>
      </w:r>
    </w:p>
    <w:p w14:paraId="31C8BD08" w14:textId="77777777" w:rsidR="00D706EC" w:rsidRPr="00D706EC" w:rsidRDefault="00D706EC" w:rsidP="008C5F19">
      <w:pPr>
        <w:pStyle w:val="BodyText"/>
        <w:numPr>
          <w:ilvl w:val="0"/>
          <w:numId w:val="47"/>
        </w:numPr>
        <w:rPr>
          <w:i/>
        </w:rPr>
      </w:pPr>
      <w:proofErr w:type="spellStart"/>
      <w:r w:rsidRPr="00D706EC">
        <w:rPr>
          <w:i/>
        </w:rPr>
        <w:t>Hyporheic</w:t>
      </w:r>
      <w:proofErr w:type="spellEnd"/>
      <w:r w:rsidRPr="00D706EC">
        <w:rPr>
          <w:i/>
        </w:rPr>
        <w:t xml:space="preserve"> spec</w:t>
      </w:r>
      <w:r>
        <w:rPr>
          <w:i/>
        </w:rPr>
        <w:t xml:space="preserve">ies: </w:t>
      </w:r>
      <w:proofErr w:type="spellStart"/>
      <w:r>
        <w:rPr>
          <w:i/>
        </w:rPr>
        <w:t>Vestenula</w:t>
      </w:r>
      <w:proofErr w:type="spellEnd"/>
      <w:r>
        <w:rPr>
          <w:i/>
        </w:rPr>
        <w:t xml:space="preserve"> n. sp. (Ostracod</w:t>
      </w:r>
      <w:r w:rsidR="004F5750">
        <w:rPr>
          <w:i/>
        </w:rPr>
        <w:t xml:space="preserve"> </w:t>
      </w:r>
      <w:r>
        <w:rPr>
          <w:i/>
        </w:rPr>
        <w:t>- new species</w:t>
      </w:r>
      <w:r w:rsidRPr="00D706EC">
        <w:rPr>
          <w:i/>
        </w:rPr>
        <w:t xml:space="preserve">), </w:t>
      </w:r>
      <w:proofErr w:type="spellStart"/>
      <w:r w:rsidRPr="00D706EC">
        <w:rPr>
          <w:i/>
        </w:rPr>
        <w:t>Chydaekata</w:t>
      </w:r>
      <w:proofErr w:type="spellEnd"/>
      <w:r w:rsidRPr="00D706EC">
        <w:rPr>
          <w:i/>
        </w:rPr>
        <w:t xml:space="preserve"> sp., </w:t>
      </w:r>
      <w:proofErr w:type="spellStart"/>
      <w:r w:rsidRPr="00D706EC">
        <w:rPr>
          <w:i/>
        </w:rPr>
        <w:t>Paramelitidae</w:t>
      </w:r>
      <w:proofErr w:type="spellEnd"/>
      <w:r w:rsidRPr="00D706EC">
        <w:rPr>
          <w:i/>
        </w:rPr>
        <w:t xml:space="preserve"> sp., </w:t>
      </w:r>
      <w:proofErr w:type="spellStart"/>
      <w:r w:rsidRPr="00D706EC">
        <w:rPr>
          <w:i/>
        </w:rPr>
        <w:t>Maarrka</w:t>
      </w:r>
      <w:proofErr w:type="spellEnd"/>
      <w:r w:rsidRPr="00D706EC">
        <w:rPr>
          <w:i/>
        </w:rPr>
        <w:t xml:space="preserve"> </w:t>
      </w:r>
      <w:proofErr w:type="spellStart"/>
      <w:r w:rsidRPr="00D706EC">
        <w:rPr>
          <w:i/>
        </w:rPr>
        <w:t>weeliwolli</w:t>
      </w:r>
      <w:proofErr w:type="spellEnd"/>
      <w:r w:rsidRPr="00D706EC">
        <w:rPr>
          <w:i/>
        </w:rPr>
        <w:t xml:space="preserve"> (</w:t>
      </w:r>
      <w:proofErr w:type="spellStart"/>
      <w:r w:rsidRPr="00D706EC">
        <w:rPr>
          <w:i/>
        </w:rPr>
        <w:t>Stygal</w:t>
      </w:r>
      <w:proofErr w:type="spellEnd"/>
      <w:r w:rsidRPr="00D706EC">
        <w:rPr>
          <w:i/>
        </w:rPr>
        <w:t xml:space="preserve"> </w:t>
      </w:r>
      <w:proofErr w:type="spellStart"/>
      <w:r w:rsidRPr="00D706EC">
        <w:rPr>
          <w:i/>
        </w:rPr>
        <w:t>paramelitid</w:t>
      </w:r>
      <w:proofErr w:type="spellEnd"/>
      <w:r w:rsidRPr="00D706EC">
        <w:rPr>
          <w:i/>
        </w:rPr>
        <w:t xml:space="preserve"> amphipods - short range endemic) and </w:t>
      </w:r>
      <w:proofErr w:type="spellStart"/>
      <w:r w:rsidRPr="00D706EC">
        <w:rPr>
          <w:i/>
        </w:rPr>
        <w:t>Pygolabis</w:t>
      </w:r>
      <w:proofErr w:type="spellEnd"/>
      <w:r w:rsidRPr="00D706EC">
        <w:rPr>
          <w:i/>
        </w:rPr>
        <w:t xml:space="preserve"> </w:t>
      </w:r>
      <w:proofErr w:type="spellStart"/>
      <w:r w:rsidRPr="00D706EC">
        <w:rPr>
          <w:i/>
        </w:rPr>
        <w:t>weeliwolli</w:t>
      </w:r>
      <w:proofErr w:type="spellEnd"/>
      <w:r w:rsidRPr="00D706EC">
        <w:rPr>
          <w:i/>
        </w:rPr>
        <w:t xml:space="preserve"> (</w:t>
      </w:r>
      <w:proofErr w:type="spellStart"/>
      <w:r w:rsidRPr="00D706EC">
        <w:rPr>
          <w:i/>
        </w:rPr>
        <w:t>stygal</w:t>
      </w:r>
      <w:proofErr w:type="spellEnd"/>
      <w:r w:rsidRPr="00D706EC">
        <w:rPr>
          <w:i/>
        </w:rPr>
        <w:t xml:space="preserve"> isopod – short range endemic).</w:t>
      </w:r>
    </w:p>
    <w:p w14:paraId="31C8BD09" w14:textId="77777777" w:rsidR="00D706EC" w:rsidRPr="00D706EC" w:rsidRDefault="00D706EC" w:rsidP="008C5F19">
      <w:pPr>
        <w:pStyle w:val="BodyText"/>
        <w:numPr>
          <w:ilvl w:val="0"/>
          <w:numId w:val="47"/>
        </w:numPr>
        <w:rPr>
          <w:i/>
        </w:rPr>
      </w:pPr>
      <w:r w:rsidRPr="00D706EC">
        <w:rPr>
          <w:i/>
        </w:rPr>
        <w:t xml:space="preserve">Macroinvertebrate species: </w:t>
      </w:r>
      <w:proofErr w:type="spellStart"/>
      <w:r w:rsidRPr="00D706EC">
        <w:rPr>
          <w:i/>
        </w:rPr>
        <w:t>Hemicordulia</w:t>
      </w:r>
      <w:proofErr w:type="spellEnd"/>
      <w:r w:rsidRPr="00D706EC">
        <w:rPr>
          <w:i/>
        </w:rPr>
        <w:t xml:space="preserve"> </w:t>
      </w:r>
      <w:proofErr w:type="spellStart"/>
      <w:r w:rsidRPr="00D706EC">
        <w:rPr>
          <w:i/>
        </w:rPr>
        <w:t>koomina</w:t>
      </w:r>
      <w:proofErr w:type="spellEnd"/>
      <w:r w:rsidRPr="00D706EC">
        <w:rPr>
          <w:i/>
        </w:rPr>
        <w:t xml:space="preserve"> (Pilbara emerald dragonfly – IUCN near threatened), </w:t>
      </w:r>
      <w:proofErr w:type="spellStart"/>
      <w:r w:rsidRPr="00D706EC">
        <w:rPr>
          <w:i/>
        </w:rPr>
        <w:t>Eurysticta</w:t>
      </w:r>
      <w:proofErr w:type="spellEnd"/>
      <w:r w:rsidRPr="00D706EC">
        <w:rPr>
          <w:i/>
        </w:rPr>
        <w:t xml:space="preserve"> </w:t>
      </w:r>
      <w:proofErr w:type="spellStart"/>
      <w:r w:rsidRPr="00D706EC">
        <w:rPr>
          <w:i/>
        </w:rPr>
        <w:t>coolawanyah</w:t>
      </w:r>
      <w:proofErr w:type="spellEnd"/>
      <w:r w:rsidRPr="00D706EC">
        <w:rPr>
          <w:i/>
        </w:rPr>
        <w:t xml:space="preserve"> (Pilbara pin damselfly –</w:t>
      </w:r>
      <w:r w:rsidR="004F5750">
        <w:rPr>
          <w:i/>
        </w:rPr>
        <w:t xml:space="preserve"> IUCN near threatened), </w:t>
      </w:r>
      <w:proofErr w:type="spellStart"/>
      <w:r w:rsidR="004F5750">
        <w:rPr>
          <w:i/>
        </w:rPr>
        <w:t>Ictinog</w:t>
      </w:r>
      <w:r w:rsidRPr="00D706EC">
        <w:rPr>
          <w:i/>
        </w:rPr>
        <w:t>omphus</w:t>
      </w:r>
      <w:proofErr w:type="spellEnd"/>
      <w:r w:rsidRPr="00D706EC">
        <w:rPr>
          <w:i/>
        </w:rPr>
        <w:t xml:space="preserve"> </w:t>
      </w:r>
      <w:proofErr w:type="spellStart"/>
      <w:r w:rsidRPr="00D706EC">
        <w:rPr>
          <w:i/>
        </w:rPr>
        <w:t>dobsoni</w:t>
      </w:r>
      <w:proofErr w:type="spellEnd"/>
      <w:r w:rsidRPr="00D706EC">
        <w:rPr>
          <w:i/>
        </w:rPr>
        <w:t xml:space="preserve"> (Pilbara tiger dragonfly – Pilbara endemic, restricted distribution), </w:t>
      </w:r>
      <w:proofErr w:type="spellStart"/>
      <w:r w:rsidRPr="00D706EC">
        <w:rPr>
          <w:i/>
        </w:rPr>
        <w:t>Aspidiobates</w:t>
      </w:r>
      <w:proofErr w:type="spellEnd"/>
      <w:r w:rsidRPr="00D706EC">
        <w:rPr>
          <w:i/>
        </w:rPr>
        <w:t xml:space="preserve"> </w:t>
      </w:r>
      <w:proofErr w:type="spellStart"/>
      <w:r w:rsidRPr="00D706EC">
        <w:rPr>
          <w:i/>
        </w:rPr>
        <w:t>pilbara</w:t>
      </w:r>
      <w:proofErr w:type="spellEnd"/>
      <w:r w:rsidRPr="00D706EC">
        <w:rPr>
          <w:i/>
        </w:rPr>
        <w:t xml:space="preserve">, and </w:t>
      </w:r>
      <w:proofErr w:type="spellStart"/>
      <w:r w:rsidRPr="00D706EC">
        <w:rPr>
          <w:i/>
        </w:rPr>
        <w:t>Wandesia</w:t>
      </w:r>
      <w:proofErr w:type="spellEnd"/>
      <w:r w:rsidRPr="00D706EC">
        <w:rPr>
          <w:i/>
        </w:rPr>
        <w:t xml:space="preserve"> sp. (Water mites – Pilbara endemic, restricted distribution).</w:t>
      </w:r>
    </w:p>
    <w:p w14:paraId="31C8BD0A" w14:textId="77777777" w:rsidR="00D706EC" w:rsidRPr="00D706EC" w:rsidRDefault="00BD0CD7" w:rsidP="00D706EC">
      <w:pPr>
        <w:pStyle w:val="BodyText"/>
        <w:rPr>
          <w:i/>
        </w:rPr>
      </w:pPr>
      <w:r>
        <w:rPr>
          <w:i/>
          <w:noProof/>
        </w:rPr>
        <w:drawing>
          <wp:anchor distT="0" distB="0" distL="114300" distR="114300" simplePos="0" relativeHeight="251906560" behindDoc="0" locked="0" layoutInCell="1" allowOverlap="1" wp14:anchorId="31C8C314" wp14:editId="31C8C315">
            <wp:simplePos x="0" y="0"/>
            <wp:positionH relativeFrom="margin">
              <wp:align>left</wp:align>
            </wp:positionH>
            <wp:positionV relativeFrom="paragraph">
              <wp:posOffset>4263</wp:posOffset>
            </wp:positionV>
            <wp:extent cx="2435225" cy="1630045"/>
            <wp:effectExtent l="0" t="0" r="3175" b="8255"/>
            <wp:wrapThrough wrapText="bothSides">
              <wp:wrapPolygon edited="0">
                <wp:start x="0" y="0"/>
                <wp:lineTo x="0" y="21457"/>
                <wp:lineTo x="21459" y="21457"/>
                <wp:lineTo x="21459" y="0"/>
                <wp:lineTo x="0" y="0"/>
              </wp:wrapPolygon>
            </wp:wrapThrough>
            <wp:docPr id="61448" name="Picture 6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8" name="DSC_7442v2.jpg"/>
                    <pic:cNvPicPr/>
                  </pic:nvPicPr>
                  <pic:blipFill>
                    <a:blip r:embed="rId84" cstate="email">
                      <a:extLst>
                        <a:ext uri="{28A0092B-C50C-407E-A947-70E740481C1C}">
                          <a14:useLocalDpi xmlns:a14="http://schemas.microsoft.com/office/drawing/2010/main"/>
                        </a:ext>
                      </a:extLst>
                    </a:blip>
                    <a:stretch>
                      <a:fillRect/>
                    </a:stretch>
                  </pic:blipFill>
                  <pic:spPr>
                    <a:xfrm>
                      <a:off x="0" y="0"/>
                      <a:ext cx="2435225" cy="1630045"/>
                    </a:xfrm>
                    <a:prstGeom prst="rect">
                      <a:avLst/>
                    </a:prstGeom>
                  </pic:spPr>
                </pic:pic>
              </a:graphicData>
            </a:graphic>
            <wp14:sizeRelH relativeFrom="margin">
              <wp14:pctWidth>0</wp14:pctWidth>
            </wp14:sizeRelH>
            <wp14:sizeRelV relativeFrom="margin">
              <wp14:pctHeight>0</wp14:pctHeight>
            </wp14:sizeRelV>
          </wp:anchor>
        </w:drawing>
      </w:r>
      <w:r w:rsidR="00D706EC" w:rsidRPr="00D706EC">
        <w:rPr>
          <w:i/>
        </w:rPr>
        <w:t xml:space="preserve">Mine dewatering and discharge of surplus water were processes identified that could potentially threaten the </w:t>
      </w:r>
      <w:proofErr w:type="spellStart"/>
      <w:r w:rsidR="00D706EC" w:rsidRPr="00D706EC">
        <w:rPr>
          <w:i/>
        </w:rPr>
        <w:t>Weeli</w:t>
      </w:r>
      <w:proofErr w:type="spellEnd"/>
      <w:r w:rsidR="00D706EC" w:rsidRPr="00D706EC">
        <w:rPr>
          <w:i/>
        </w:rPr>
        <w:t xml:space="preserve"> Wolli Creek system. An irrigation system was designed to counter the impacts of groundwater drawdown - reducing spring flow and causing groundwater levels to drop out of reach of </w:t>
      </w:r>
      <w:proofErr w:type="spellStart"/>
      <w:r w:rsidR="00D706EC" w:rsidRPr="00D706EC">
        <w:rPr>
          <w:i/>
        </w:rPr>
        <w:t>phreatophytic</w:t>
      </w:r>
      <w:proofErr w:type="spellEnd"/>
      <w:r w:rsidR="00D706EC" w:rsidRPr="00D706EC">
        <w:rPr>
          <w:i/>
        </w:rPr>
        <w:t xml:space="preserve"> vegetation. To counteract this, surplus mine water is discharged at several locations in the creek line to maintain basal flow and permanent pools in the vicinity of the spring. This water also supports a shallow groundwater system, riparian vegetation, and some </w:t>
      </w:r>
      <w:proofErr w:type="spellStart"/>
      <w:r w:rsidR="00D706EC" w:rsidRPr="00D706EC">
        <w:rPr>
          <w:i/>
        </w:rPr>
        <w:t>phreatophytic</w:t>
      </w:r>
      <w:proofErr w:type="spellEnd"/>
      <w:r w:rsidR="00D706EC" w:rsidRPr="00D706EC">
        <w:rPr>
          <w:i/>
        </w:rPr>
        <w:t xml:space="preserve"> vegetation that requires additional irrigation. Watering will continue for the duration of the dewatering operations and until natural spring flow resumes. </w:t>
      </w:r>
    </w:p>
    <w:p w14:paraId="31C8BD0B" w14:textId="77777777" w:rsidR="00D706EC" w:rsidRPr="00D706EC" w:rsidRDefault="00D706EC" w:rsidP="00D706EC">
      <w:pPr>
        <w:pStyle w:val="BodyText"/>
        <w:rPr>
          <w:i/>
        </w:rPr>
      </w:pPr>
      <w:r w:rsidRPr="00D706EC">
        <w:rPr>
          <w:i/>
        </w:rPr>
        <w:t xml:space="preserve">Ten years after dewatering and irrigation commenced, natural spring flow has ceased and there have been some changes in vegetation, however the overall ecosystem of the spring and creek appear to be functioning supported by artificial spring discharge (EPA, 2018). However, the impact of groundwater dewatering and artificial watering at </w:t>
      </w:r>
      <w:proofErr w:type="spellStart"/>
      <w:r w:rsidRPr="00D706EC">
        <w:rPr>
          <w:i/>
        </w:rPr>
        <w:t>Weeli</w:t>
      </w:r>
      <w:proofErr w:type="spellEnd"/>
      <w:r w:rsidRPr="00D706EC">
        <w:rPr>
          <w:i/>
        </w:rPr>
        <w:t xml:space="preserve"> Wolli Spring on stygofauna, </w:t>
      </w:r>
      <w:proofErr w:type="spellStart"/>
      <w:r w:rsidRPr="00D706EC">
        <w:rPr>
          <w:i/>
        </w:rPr>
        <w:t>hyporheic</w:t>
      </w:r>
      <w:proofErr w:type="spellEnd"/>
      <w:r w:rsidRPr="00D706EC">
        <w:rPr>
          <w:i/>
        </w:rPr>
        <w:t xml:space="preserve"> and macroinvertebrate species is not apparent in currently available literature.</w:t>
      </w:r>
    </w:p>
    <w:p w14:paraId="31C8BD0C" w14:textId="77777777" w:rsidR="00D706EC" w:rsidRPr="00D706EC" w:rsidRDefault="00D706EC" w:rsidP="00D706EC">
      <w:pPr>
        <w:pStyle w:val="BodyText"/>
        <w:rPr>
          <w:i/>
        </w:rPr>
      </w:pPr>
      <w:r w:rsidRPr="00D706EC">
        <w:rPr>
          <w:i/>
        </w:rPr>
        <w:t xml:space="preserve">Concern remains that discharge of surplus water into the </w:t>
      </w:r>
      <w:proofErr w:type="spellStart"/>
      <w:r w:rsidRPr="00D706EC">
        <w:rPr>
          <w:i/>
        </w:rPr>
        <w:t>creekline</w:t>
      </w:r>
      <w:proofErr w:type="spellEnd"/>
      <w:r w:rsidRPr="00D706EC">
        <w:rPr>
          <w:i/>
        </w:rPr>
        <w:t xml:space="preserve">, which extends the perennially flowing portion of </w:t>
      </w:r>
      <w:proofErr w:type="spellStart"/>
      <w:r w:rsidRPr="00D706EC">
        <w:rPr>
          <w:i/>
        </w:rPr>
        <w:t>Weeli</w:t>
      </w:r>
      <w:proofErr w:type="spellEnd"/>
      <w:r w:rsidRPr="00D706EC">
        <w:rPr>
          <w:i/>
        </w:rPr>
        <w:t xml:space="preserve"> Wolli Creek for several more kilometres downstream, could cause adverse impacts due to the long-term increase in average water levels.</w:t>
      </w:r>
    </w:p>
    <w:p w14:paraId="31C8BD0D" w14:textId="77777777" w:rsidR="00D24A32" w:rsidRDefault="005D1F26" w:rsidP="00F3119C">
      <w:pPr>
        <w:pStyle w:val="Heading3"/>
      </w:pPr>
      <w:bookmarkStart w:id="83" w:name="_Toc509996496"/>
      <w:r w:rsidRPr="00301D7B">
        <w:lastRenderedPageBreak/>
        <w:t>Environmental</w:t>
      </w:r>
      <w:r>
        <w:t xml:space="preserve"> </w:t>
      </w:r>
      <w:r w:rsidR="00D24A32">
        <w:t>Offsets</w:t>
      </w:r>
      <w:bookmarkEnd w:id="83"/>
    </w:p>
    <w:p w14:paraId="31C8BD0E" w14:textId="77777777" w:rsidR="007F78CC" w:rsidRDefault="005D1F26" w:rsidP="00D24A32">
      <w:pPr>
        <w:pStyle w:val="BodyText"/>
      </w:pPr>
      <w:r>
        <w:t xml:space="preserve">An </w:t>
      </w:r>
      <w:r w:rsidRPr="00430CA7">
        <w:t xml:space="preserve">environmental offset is defined as an activity undertaken to counterbalance </w:t>
      </w:r>
      <w:r w:rsidR="00AD688C">
        <w:t>the</w:t>
      </w:r>
      <w:r w:rsidRPr="00430CA7">
        <w:t xml:space="preserve"> residual impact of a prescribed activity on a prescribed</w:t>
      </w:r>
      <w:r>
        <w:t xml:space="preserve"> environmental matter (</w:t>
      </w:r>
      <w:hyperlink r:id="rId85" w:history="1">
        <w:r w:rsidR="00D62097">
          <w:rPr>
            <w:rStyle w:val="Hyperlink"/>
          </w:rPr>
          <w:t>Environmental Offsets Act 2014</w:t>
        </w:r>
      </w:hyperlink>
      <w:r w:rsidR="00D62097">
        <w:t>)</w:t>
      </w:r>
      <w:r>
        <w:t xml:space="preserve"> or measures to compensate for the residual adverse impacts (unavoidable impacts) of an action on the environment. Offsets counterbalance the impacts that remain after avoidance and mitigation measures.</w:t>
      </w:r>
      <w:r w:rsidR="006004A6">
        <w:t xml:space="preserve"> </w:t>
      </w:r>
      <w:r>
        <w:t>They are required if residual impacts are significant.</w:t>
      </w:r>
      <w:r w:rsidR="007F78CC">
        <w:t xml:space="preserve"> </w:t>
      </w:r>
      <w:r w:rsidR="000E3BF2">
        <w:t xml:space="preserve">Where </w:t>
      </w:r>
      <w:r w:rsidR="00B9286C">
        <w:t xml:space="preserve">GDEs </w:t>
      </w:r>
      <w:r w:rsidR="000E3BF2">
        <w:t xml:space="preserve">have endemic species or a spring complex has </w:t>
      </w:r>
      <w:r w:rsidR="000E3BF2" w:rsidRPr="00430CA7">
        <w:t>a rare</w:t>
      </w:r>
      <w:r w:rsidR="000E3BF2">
        <w:t xml:space="preserve"> combination of species, offsetting is unlikely to be a viable option if r</w:t>
      </w:r>
      <w:r w:rsidR="009067F4">
        <w:t>esidual impa</w:t>
      </w:r>
      <w:r w:rsidR="00990C0D">
        <w:t>cts are significant. Therefore,</w:t>
      </w:r>
      <w:r w:rsidR="009067F4">
        <w:t xml:space="preserve"> </w:t>
      </w:r>
      <w:r w:rsidR="000E3BF2">
        <w:t xml:space="preserve">other options require investigation. </w:t>
      </w:r>
    </w:p>
    <w:p w14:paraId="31C8BD0F" w14:textId="77777777" w:rsidR="00D24A32" w:rsidRDefault="007F78CC" w:rsidP="00D24A32">
      <w:pPr>
        <w:pStyle w:val="BodyText"/>
      </w:pPr>
      <w:r>
        <w:t>Offsets do not reduce the likely impacts of a proposed action but compensate for any residual significant impact</w:t>
      </w:r>
      <w:r w:rsidR="00CE6A37">
        <w:t>.</w:t>
      </w:r>
      <w:r w:rsidR="000E3BF2">
        <w:t xml:space="preserve"> </w:t>
      </w:r>
      <w:r w:rsidR="00933A1F">
        <w:t>Offsets can create a net positive</w:t>
      </w:r>
      <w:r w:rsidR="00B9286C">
        <w:t xml:space="preserve"> or, at least</w:t>
      </w:r>
      <w:r w:rsidR="00933A1F">
        <w:t xml:space="preserve">, should aim for no net overall loss of ecological value. </w:t>
      </w:r>
      <w:r w:rsidR="000E3BF2">
        <w:t>Examples of offsetting GDEs are currently rare, although</w:t>
      </w:r>
      <w:r w:rsidR="00611DC3" w:rsidRPr="00611DC3">
        <w:t xml:space="preserve"> </w:t>
      </w:r>
      <w:r w:rsidR="00611DC3">
        <w:t>a proposal is made in</w:t>
      </w:r>
      <w:r w:rsidR="000E3BF2">
        <w:t xml:space="preserve"> the GDE Management Plan for Carmichael Coal Mine to offset 4 ha of </w:t>
      </w:r>
      <w:r w:rsidR="00351AA3">
        <w:t>groundwater</w:t>
      </w:r>
      <w:r w:rsidR="00B9286C">
        <w:t>-</w:t>
      </w:r>
      <w:r w:rsidR="00351AA3">
        <w:t>dependent</w:t>
      </w:r>
      <w:r w:rsidR="000E3BF2">
        <w:t xml:space="preserve"> waxy cabbage palm (GHD 2014). There </w:t>
      </w:r>
      <w:r w:rsidR="00B9286C">
        <w:t xml:space="preserve">are </w:t>
      </w:r>
      <w:r w:rsidR="000E3BF2">
        <w:t>2744 ha of suitable waxy cabbage palm habitat available outside the impact area, so direct offsetting may be possible in this case. Indirect offsetting was also propo</w:t>
      </w:r>
      <w:r w:rsidR="00933A1F">
        <w:t>sed, through measures including</w:t>
      </w:r>
      <w:r w:rsidR="00B9286C">
        <w:t>:</w:t>
      </w:r>
    </w:p>
    <w:p w14:paraId="31C8BD10" w14:textId="77777777" w:rsidR="000E3BF2" w:rsidRDefault="00611DC3" w:rsidP="00F1192F">
      <w:pPr>
        <w:pStyle w:val="BodyText"/>
        <w:numPr>
          <w:ilvl w:val="0"/>
          <w:numId w:val="28"/>
        </w:numPr>
      </w:pPr>
      <w:r>
        <w:t>s</w:t>
      </w:r>
      <w:r w:rsidR="000E3BF2">
        <w:t>eed collection and planting along upstream reaches of the Carmichael River</w:t>
      </w:r>
    </w:p>
    <w:p w14:paraId="31C8BD11" w14:textId="77777777" w:rsidR="000E3BF2" w:rsidRDefault="00611DC3" w:rsidP="00F1192F">
      <w:pPr>
        <w:pStyle w:val="BodyText"/>
        <w:numPr>
          <w:ilvl w:val="0"/>
          <w:numId w:val="28"/>
        </w:numPr>
      </w:pPr>
      <w:r>
        <w:t>r</w:t>
      </w:r>
      <w:r w:rsidR="000E3BF2">
        <w:t>elocation of plants</w:t>
      </w:r>
    </w:p>
    <w:p w14:paraId="31C8BD12" w14:textId="77777777" w:rsidR="000E3BF2" w:rsidRDefault="00611DC3" w:rsidP="00F1192F">
      <w:pPr>
        <w:pStyle w:val="BodyText"/>
        <w:numPr>
          <w:ilvl w:val="0"/>
          <w:numId w:val="28"/>
        </w:numPr>
      </w:pPr>
      <w:r>
        <w:t>c</w:t>
      </w:r>
      <w:r w:rsidR="000E3BF2">
        <w:t xml:space="preserve">ontributing to research to understand range, water dependence, and </w:t>
      </w:r>
      <w:r w:rsidR="00B9286C">
        <w:t xml:space="preserve">thresholds of </w:t>
      </w:r>
      <w:r w:rsidR="000E3BF2">
        <w:t>threatening process</w:t>
      </w:r>
      <w:r w:rsidR="00B9286C">
        <w:t>es</w:t>
      </w:r>
      <w:r w:rsidR="000E3BF2">
        <w:t xml:space="preserve"> </w:t>
      </w:r>
      <w:r w:rsidR="00B9286C">
        <w:t>to</w:t>
      </w:r>
      <w:r w:rsidR="000E3BF2">
        <w:t xml:space="preserve"> waxy cabbage palms</w:t>
      </w:r>
    </w:p>
    <w:p w14:paraId="31C8BD13" w14:textId="77777777" w:rsidR="000E3BF2" w:rsidRDefault="00611DC3" w:rsidP="00F1192F">
      <w:pPr>
        <w:pStyle w:val="BodyText"/>
        <w:numPr>
          <w:ilvl w:val="0"/>
          <w:numId w:val="28"/>
        </w:numPr>
      </w:pPr>
      <w:proofErr w:type="gramStart"/>
      <w:r>
        <w:t>c</w:t>
      </w:r>
      <w:r w:rsidR="000E3BF2">
        <w:t>onservation</w:t>
      </w:r>
      <w:proofErr w:type="gramEnd"/>
      <w:r w:rsidR="000E3BF2">
        <w:t xml:space="preserve"> activities in waxy cabbage palm habitat outside of the project impac</w:t>
      </w:r>
      <w:r>
        <w:t>t area</w:t>
      </w:r>
      <w:r w:rsidR="00301D7B">
        <w:t>.</w:t>
      </w:r>
    </w:p>
    <w:p w14:paraId="31C8BD14" w14:textId="77777777" w:rsidR="000E3BF2" w:rsidRDefault="00CE6A37" w:rsidP="000E3BF2">
      <w:pPr>
        <w:pStyle w:val="BodyText"/>
      </w:pPr>
      <w:r>
        <w:t>Rehabilitation may be considered</w:t>
      </w:r>
      <w:r w:rsidR="00E809A7">
        <w:t>. H</w:t>
      </w:r>
      <w:r>
        <w:t>owever</w:t>
      </w:r>
      <w:r w:rsidR="00E809A7">
        <w:t>,</w:t>
      </w:r>
      <w:r>
        <w:t xml:space="preserve"> investigation is required to ensure that pre-impact groundwater regimes </w:t>
      </w:r>
      <w:r w:rsidR="00B9286C">
        <w:t xml:space="preserve">and water quality </w:t>
      </w:r>
      <w:r>
        <w:t>can be established</w:t>
      </w:r>
      <w:r w:rsidR="00B9286C">
        <w:t>,</w:t>
      </w:r>
      <w:r>
        <w:t xml:space="preserve"> and </w:t>
      </w:r>
      <w:r w:rsidR="00B9286C">
        <w:t xml:space="preserve">that </w:t>
      </w:r>
      <w:r>
        <w:t>the cumulative impacts over decades do not completely degrade the GDE.</w:t>
      </w:r>
      <w:r w:rsidR="00E809A7">
        <w:t xml:space="preserve"> Under the NSW Aquifer I</w:t>
      </w:r>
      <w:r w:rsidR="000E3BF2">
        <w:t xml:space="preserve">nterference Policy 2012, proponents are required to provide a security deposit to be held by the NSW Government to ‘cover the costs of remediation works for unforeseen impacts or ongoing post-closure activities’. The amount deposited is to reflect the level of risk to the aquifer or its dependent ecosystems, and is determined separately for each case.  </w:t>
      </w:r>
    </w:p>
    <w:p w14:paraId="31C8BD15" w14:textId="77777777" w:rsidR="003217B8" w:rsidRPr="003217B8" w:rsidRDefault="00156CE6" w:rsidP="00F3119C">
      <w:pPr>
        <w:pStyle w:val="Heading3"/>
      </w:pPr>
      <w:bookmarkStart w:id="84" w:name="_Toc509996497"/>
      <w:r>
        <w:rPr>
          <w:noProof/>
        </w:rPr>
        <w:drawing>
          <wp:anchor distT="0" distB="0" distL="114300" distR="114300" simplePos="0" relativeHeight="251888128" behindDoc="0" locked="0" layoutInCell="1" allowOverlap="1" wp14:anchorId="31C8C316" wp14:editId="31C8C317">
            <wp:simplePos x="0" y="0"/>
            <wp:positionH relativeFrom="margin">
              <wp:align>right</wp:align>
            </wp:positionH>
            <wp:positionV relativeFrom="paragraph">
              <wp:posOffset>161059</wp:posOffset>
            </wp:positionV>
            <wp:extent cx="3050540" cy="2023110"/>
            <wp:effectExtent l="0" t="0" r="0" b="0"/>
            <wp:wrapThrough wrapText="bothSides">
              <wp:wrapPolygon edited="0">
                <wp:start x="0" y="0"/>
                <wp:lineTo x="0" y="21356"/>
                <wp:lineTo x="21447" y="21356"/>
                <wp:lineTo x="21447" y="0"/>
                <wp:lineTo x="0" y="0"/>
              </wp:wrapPolygon>
            </wp:wrapThrough>
            <wp:docPr id="61445" name="Picture 6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DSC_0861BBv1.jpg"/>
                    <pic:cNvPicPr/>
                  </pic:nvPicPr>
                  <pic:blipFill>
                    <a:blip r:embed="rId86" cstate="email">
                      <a:extLst>
                        <a:ext uri="{28A0092B-C50C-407E-A947-70E740481C1C}">
                          <a14:useLocalDpi xmlns:a14="http://schemas.microsoft.com/office/drawing/2010/main"/>
                        </a:ext>
                      </a:extLst>
                    </a:blip>
                    <a:stretch>
                      <a:fillRect/>
                    </a:stretch>
                  </pic:blipFill>
                  <pic:spPr>
                    <a:xfrm>
                      <a:off x="0" y="0"/>
                      <a:ext cx="3050540" cy="2023110"/>
                    </a:xfrm>
                    <a:prstGeom prst="rect">
                      <a:avLst/>
                    </a:prstGeom>
                  </pic:spPr>
                </pic:pic>
              </a:graphicData>
            </a:graphic>
          </wp:anchor>
        </w:drawing>
      </w:r>
      <w:r w:rsidR="003217B8">
        <w:t>Monitoring</w:t>
      </w:r>
      <w:bookmarkEnd w:id="84"/>
    </w:p>
    <w:p w14:paraId="31C8BD16" w14:textId="77777777" w:rsidR="008D75DB" w:rsidRDefault="004E449B" w:rsidP="005502DF">
      <w:pPr>
        <w:pStyle w:val="BodyText"/>
      </w:pPr>
      <w:r w:rsidRPr="00430CA7">
        <w:t>Monitoring is essential</w:t>
      </w:r>
      <w:r>
        <w:t xml:space="preserve"> </w:t>
      </w:r>
      <w:r w:rsidR="00E809A7">
        <w:t>to measure the effectiveness of the mitigation practices.</w:t>
      </w:r>
      <w:r>
        <w:t xml:space="preserve"> </w:t>
      </w:r>
      <w:r w:rsidR="002B5FD2">
        <w:t>M</w:t>
      </w:r>
      <w:r>
        <w:t>onitoring program</w:t>
      </w:r>
      <w:r w:rsidR="002B5FD2">
        <w:t>s</w:t>
      </w:r>
      <w:r>
        <w:t xml:space="preserve"> need to be project</w:t>
      </w:r>
      <w:r w:rsidR="00B9286C">
        <w:t>-</w:t>
      </w:r>
      <w:r>
        <w:t xml:space="preserve">specific and should include monitoring for changes in the groundwater regime (e.g. declines in water level), as well as changes to GDE condition (e.g. changes in pre-dawn leaf water use). </w:t>
      </w:r>
      <w:r w:rsidR="008D75DB">
        <w:t xml:space="preserve">In establishing a monitoring program to assess </w:t>
      </w:r>
      <w:r w:rsidR="00E809A7">
        <w:t>effectiveness of mitigation practices</w:t>
      </w:r>
      <w:r w:rsidR="00B9286C">
        <w:t>:</w:t>
      </w:r>
    </w:p>
    <w:p w14:paraId="31C8BD17" w14:textId="77777777" w:rsidR="008D75DB" w:rsidRDefault="008D75DB" w:rsidP="00F1192F">
      <w:pPr>
        <w:pStyle w:val="BodyText"/>
        <w:numPr>
          <w:ilvl w:val="0"/>
          <w:numId w:val="27"/>
        </w:numPr>
      </w:pPr>
      <w:r>
        <w:t>each of the variables measured should have a clear</w:t>
      </w:r>
      <w:r w:rsidR="00B9286C">
        <w:t>ly justified</w:t>
      </w:r>
      <w:r>
        <w:t xml:space="preserve"> purpose, and be </w:t>
      </w:r>
      <w:r w:rsidR="00E809A7">
        <w:t xml:space="preserve">explicitly </w:t>
      </w:r>
      <w:r>
        <w:t>linked to the mitigation measure(s) it aims to test</w:t>
      </w:r>
    </w:p>
    <w:p w14:paraId="31C8BD18" w14:textId="77777777" w:rsidR="008D75DB" w:rsidRDefault="008D75DB" w:rsidP="00F1192F">
      <w:pPr>
        <w:pStyle w:val="BodyText"/>
        <w:numPr>
          <w:ilvl w:val="0"/>
          <w:numId w:val="27"/>
        </w:numPr>
      </w:pPr>
      <w:r>
        <w:t xml:space="preserve">the level of detail (number of replicates, number of sites, survey timing, precision of </w:t>
      </w:r>
      <w:r w:rsidR="00B9286C">
        <w:t xml:space="preserve">measurement of </w:t>
      </w:r>
      <w:r>
        <w:t>variables) should be sufficient to detect the level of change that indicates an impact</w:t>
      </w:r>
    </w:p>
    <w:p w14:paraId="31C8BD19" w14:textId="77777777" w:rsidR="008D75DB" w:rsidRDefault="008D75DB" w:rsidP="00F1192F">
      <w:pPr>
        <w:pStyle w:val="BodyText"/>
        <w:numPr>
          <w:ilvl w:val="0"/>
          <w:numId w:val="27"/>
        </w:numPr>
      </w:pPr>
      <w:r>
        <w:t xml:space="preserve">ecological data should </w:t>
      </w:r>
      <w:r w:rsidR="00933A1F">
        <w:t xml:space="preserve">have associated </w:t>
      </w:r>
      <w:r>
        <w:t>groundwater data</w:t>
      </w:r>
    </w:p>
    <w:p w14:paraId="31C8BD1A" w14:textId="77777777" w:rsidR="008D75DB" w:rsidRDefault="008D75DB" w:rsidP="00F1192F">
      <w:pPr>
        <w:pStyle w:val="BodyText"/>
        <w:numPr>
          <w:ilvl w:val="0"/>
          <w:numId w:val="27"/>
        </w:numPr>
      </w:pPr>
      <w:r>
        <w:t>data should be analysed rapidly to allow adaptive management actions and the mitigation of unforeseen impacts</w:t>
      </w:r>
    </w:p>
    <w:p w14:paraId="31C8BD1B" w14:textId="77777777" w:rsidR="004E449B" w:rsidRDefault="004E449B" w:rsidP="005502DF">
      <w:pPr>
        <w:pStyle w:val="BodyText"/>
      </w:pPr>
      <w:r>
        <w:t xml:space="preserve">Variables that show changes in the aquifer condition (rather than the </w:t>
      </w:r>
      <w:r w:rsidR="00E809A7">
        <w:t>GDE</w:t>
      </w:r>
      <w:r>
        <w:t xml:space="preserve">) and provide real-time data should be used as early indicators </w:t>
      </w:r>
      <w:r w:rsidR="007D4603">
        <w:t xml:space="preserve">of imminent </w:t>
      </w:r>
      <w:r>
        <w:t xml:space="preserve">impacts to a GDE. Examples of </w:t>
      </w:r>
      <w:r w:rsidR="00F12C51">
        <w:t>real-time</w:t>
      </w:r>
      <w:r>
        <w:t xml:space="preserve"> sources for groundwater data include </w:t>
      </w:r>
      <w:r>
        <w:lastRenderedPageBreak/>
        <w:t xml:space="preserve">telemetered loggers that measure groundwater level and salinity, as well as satellite imagery. If groundwater data shows </w:t>
      </w:r>
      <w:r w:rsidR="007D4603">
        <w:t>exceedance of</w:t>
      </w:r>
      <w:r>
        <w:t xml:space="preserve"> </w:t>
      </w:r>
      <w:r w:rsidR="005C2481">
        <w:t xml:space="preserve">site-specific </w:t>
      </w:r>
      <w:r w:rsidR="007D4603">
        <w:t>g</w:t>
      </w:r>
      <w:r w:rsidR="005C2481">
        <w:t xml:space="preserve">uidance </w:t>
      </w:r>
      <w:r w:rsidR="007D4603">
        <w:t>v</w:t>
      </w:r>
      <w:r w:rsidR="005C2481">
        <w:t>alue</w:t>
      </w:r>
      <w:r w:rsidR="007D4603">
        <w:t>s</w:t>
      </w:r>
      <w:r w:rsidR="000740AC">
        <w:t xml:space="preserve"> (or trigger value</w:t>
      </w:r>
      <w:r w:rsidR="007D4603">
        <w:t>s</w:t>
      </w:r>
      <w:r w:rsidR="000740AC">
        <w:t>)</w:t>
      </w:r>
      <w:r>
        <w:t xml:space="preserve"> is likely to occur, field surveys can </w:t>
      </w:r>
      <w:r w:rsidR="007D4603">
        <w:t xml:space="preserve">be used to assess </w:t>
      </w:r>
      <w:r>
        <w:t xml:space="preserve">the level of ecosystem stress, and the results used to prompt changes to management strategies.  </w:t>
      </w:r>
    </w:p>
    <w:p w14:paraId="31C8BD1C" w14:textId="77777777" w:rsidR="004E449B" w:rsidRDefault="008D75DB" w:rsidP="004E449B">
      <w:pPr>
        <w:pStyle w:val="BodyText"/>
      </w:pPr>
      <w:r>
        <w:t xml:space="preserve">There are very few biological or ecological variables that can be used as early warning signs of impact from </w:t>
      </w:r>
      <w:r w:rsidR="00667915">
        <w:t>CSG</w:t>
      </w:r>
      <w:r>
        <w:t xml:space="preserve"> or </w:t>
      </w:r>
      <w:r w:rsidR="00667915">
        <w:t>LCM</w:t>
      </w:r>
      <w:r>
        <w:t xml:space="preserve"> </w:t>
      </w:r>
      <w:r w:rsidR="007D4603">
        <w:t>activities</w:t>
      </w:r>
      <w:r>
        <w:t xml:space="preserve">. </w:t>
      </w:r>
      <w:r w:rsidR="004E449B">
        <w:t xml:space="preserve">Impacts to GDEs can be observed through a loss in condition or visible signs of stress in individual ecosystem components. However, symptoms often appear at the surface only </w:t>
      </w:r>
      <w:r w:rsidR="007D4603">
        <w:t xml:space="preserve">after the </w:t>
      </w:r>
      <w:r w:rsidR="004E449B">
        <w:t>effects of the impact have taken hold</w:t>
      </w:r>
      <w:r w:rsidR="007D4603">
        <w:t>. B</w:t>
      </w:r>
      <w:r w:rsidR="004E449B">
        <w:t>y th</w:t>
      </w:r>
      <w:r w:rsidR="00667915">
        <w:t>is time</w:t>
      </w:r>
      <w:r w:rsidR="007D4603">
        <w:t>,</w:t>
      </w:r>
      <w:r w:rsidR="00667915">
        <w:t xml:space="preserve"> it may be too late for</w:t>
      </w:r>
      <w:r w:rsidR="004E449B">
        <w:t xml:space="preserve"> su</w:t>
      </w:r>
      <w:r w:rsidR="007D4603">
        <w:t>ccessful</w:t>
      </w:r>
      <w:r w:rsidR="004E449B">
        <w:t xml:space="preserve"> mitigation. </w:t>
      </w:r>
      <w:r w:rsidR="00667915">
        <w:t xml:space="preserve">Hence, </w:t>
      </w:r>
      <w:r w:rsidR="00F12C51">
        <w:t>real-time</w:t>
      </w:r>
      <w:r w:rsidR="00667915">
        <w:t xml:space="preserve"> groundwater data is important to GDE monitoring programs</w:t>
      </w:r>
      <w:r w:rsidR="007D4603">
        <w:t xml:space="preserve"> so that mitigation actions are as effective as possible</w:t>
      </w:r>
      <w:r w:rsidR="004E449B">
        <w:t xml:space="preserve">. </w:t>
      </w:r>
    </w:p>
    <w:p w14:paraId="31C8BD1D" w14:textId="77777777" w:rsidR="001D400D" w:rsidRDefault="001D400D" w:rsidP="004E449B">
      <w:pPr>
        <w:pStyle w:val="BodyText"/>
      </w:pPr>
    </w:p>
    <w:p w14:paraId="31C8BD1E" w14:textId="77777777" w:rsidR="00AE2DE8" w:rsidRDefault="00AE2DE8" w:rsidP="00AE2DE8">
      <w:pPr>
        <w:pStyle w:val="BodyText"/>
        <w:pBdr>
          <w:top w:val="single" w:sz="12" w:space="1" w:color="404040" w:themeColor="text1" w:themeTint="BF"/>
          <w:left w:val="single" w:sz="12" w:space="4" w:color="404040" w:themeColor="text1" w:themeTint="BF"/>
          <w:bottom w:val="single" w:sz="12" w:space="1" w:color="404040" w:themeColor="text1" w:themeTint="BF"/>
          <w:right w:val="single" w:sz="12" w:space="4" w:color="404040" w:themeColor="text1" w:themeTint="BF"/>
        </w:pBdr>
        <w:shd w:val="clear" w:color="auto" w:fill="B7FD63"/>
      </w:pPr>
      <w:r>
        <w:t xml:space="preserve">RECOMMENDATION: Identify </w:t>
      </w:r>
      <w:r w:rsidR="007D4603">
        <w:t xml:space="preserve">hydrological </w:t>
      </w:r>
      <w:r>
        <w:t>and/or ecological variables that serve as early indicators of groundwater change to draw attention to imminent impacts to GDEs.</w:t>
      </w:r>
    </w:p>
    <w:p w14:paraId="31C8BD1F" w14:textId="77777777" w:rsidR="006056A5" w:rsidRDefault="006056A5" w:rsidP="005502DF">
      <w:pPr>
        <w:pStyle w:val="BodyText"/>
      </w:pPr>
    </w:p>
    <w:p w14:paraId="31C8BD20" w14:textId="77777777" w:rsidR="007D4766" w:rsidRDefault="005502DF" w:rsidP="005502DF">
      <w:pPr>
        <w:pStyle w:val="BodyText"/>
      </w:pPr>
      <w:r>
        <w:t xml:space="preserve">It can be relatively </w:t>
      </w:r>
      <w:r w:rsidR="007D4603">
        <w:t>easy</w:t>
      </w:r>
      <w:r>
        <w:t xml:space="preserve"> to </w:t>
      </w:r>
      <w:r w:rsidR="007D4603">
        <w:t xml:space="preserve">use historical data to </w:t>
      </w:r>
      <w:r w:rsidR="004E449B">
        <w:t>establish thresholds</w:t>
      </w:r>
      <w:r w:rsidR="00FC1997">
        <w:t xml:space="preserve"> </w:t>
      </w:r>
      <w:r w:rsidR="007D4603">
        <w:t xml:space="preserve">beyond </w:t>
      </w:r>
      <w:r w:rsidR="00FC1997">
        <w:t xml:space="preserve">which GDEs are impacted by </w:t>
      </w:r>
      <w:r w:rsidR="004E449B">
        <w:t>change</w:t>
      </w:r>
      <w:r w:rsidR="007D4603">
        <w:t>s</w:t>
      </w:r>
      <w:r w:rsidR="004E449B">
        <w:t xml:space="preserve"> in groundwater </w:t>
      </w:r>
      <w:r w:rsidR="007D4603">
        <w:t xml:space="preserve">regime </w:t>
      </w:r>
      <w:r w:rsidR="004E449B">
        <w:t>and</w:t>
      </w:r>
      <w:r w:rsidR="007D4603">
        <w:t>/or</w:t>
      </w:r>
      <w:r w:rsidR="004E449B">
        <w:t xml:space="preserve"> </w:t>
      </w:r>
      <w:r w:rsidR="007D4603">
        <w:t xml:space="preserve">water </w:t>
      </w:r>
      <w:r w:rsidR="004E449B">
        <w:t xml:space="preserve">quality, </w:t>
      </w:r>
      <w:r>
        <w:t xml:space="preserve">but </w:t>
      </w:r>
      <w:r w:rsidR="007D4603">
        <w:t>harder</w:t>
      </w:r>
      <w:r>
        <w:t xml:space="preserve"> to establish valid biological benchmarks by which to formulate </w:t>
      </w:r>
      <w:r w:rsidR="004E449B">
        <w:t xml:space="preserve">thresholds </w:t>
      </w:r>
      <w:r>
        <w:t>for monitoring</w:t>
      </w:r>
      <w:r w:rsidR="004E449B">
        <w:t xml:space="preserve"> ecosystem condition</w:t>
      </w:r>
      <w:r>
        <w:t xml:space="preserve">. For example, surveys during impact assessment can be used to confirm that stygofauna are present, but datasets are </w:t>
      </w:r>
      <w:r w:rsidR="00072DDD">
        <w:t>us</w:t>
      </w:r>
      <w:r w:rsidR="00EF0286">
        <w:t>ually</w:t>
      </w:r>
      <w:r>
        <w:t xml:space="preserve"> small because stygofauna are often sparsely distributed (WA EPA 2007).  This leads to problems in setting baseline conditions to which future monitoring data should be compared. </w:t>
      </w:r>
    </w:p>
    <w:p w14:paraId="31C8BD21" w14:textId="77777777" w:rsidR="007D4766" w:rsidRDefault="00156CE6" w:rsidP="005502DF">
      <w:pPr>
        <w:pStyle w:val="BodyText"/>
      </w:pPr>
      <w:r>
        <w:rPr>
          <w:noProof/>
        </w:rPr>
        <w:drawing>
          <wp:anchor distT="0" distB="0" distL="114300" distR="114300" simplePos="0" relativeHeight="251889152" behindDoc="0" locked="0" layoutInCell="1" allowOverlap="1" wp14:anchorId="31C8C318" wp14:editId="31C8C319">
            <wp:simplePos x="0" y="0"/>
            <wp:positionH relativeFrom="margin">
              <wp:align>left</wp:align>
            </wp:positionH>
            <wp:positionV relativeFrom="paragraph">
              <wp:posOffset>478213</wp:posOffset>
            </wp:positionV>
            <wp:extent cx="2565400" cy="1708785"/>
            <wp:effectExtent l="0" t="0" r="6350" b="5715"/>
            <wp:wrapThrough wrapText="bothSides">
              <wp:wrapPolygon edited="0">
                <wp:start x="0" y="0"/>
                <wp:lineTo x="0" y="21431"/>
                <wp:lineTo x="21493" y="21431"/>
                <wp:lineTo x="21493" y="0"/>
                <wp:lineTo x="0" y="0"/>
              </wp:wrapPolygon>
            </wp:wrapThrough>
            <wp:docPr id="61446" name="Picture 6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DSC_7678v1.jpg"/>
                    <pic:cNvPicPr/>
                  </pic:nvPicPr>
                  <pic:blipFill>
                    <a:blip r:embed="rId87" cstate="email">
                      <a:extLst>
                        <a:ext uri="{28A0092B-C50C-407E-A947-70E740481C1C}">
                          <a14:useLocalDpi xmlns:a14="http://schemas.microsoft.com/office/drawing/2010/main"/>
                        </a:ext>
                      </a:extLst>
                    </a:blip>
                    <a:stretch>
                      <a:fillRect/>
                    </a:stretch>
                  </pic:blipFill>
                  <pic:spPr>
                    <a:xfrm>
                      <a:off x="0" y="0"/>
                      <a:ext cx="2565400" cy="1708785"/>
                    </a:xfrm>
                    <a:prstGeom prst="rect">
                      <a:avLst/>
                    </a:prstGeom>
                  </pic:spPr>
                </pic:pic>
              </a:graphicData>
            </a:graphic>
          </wp:anchor>
        </w:drawing>
      </w:r>
      <w:r w:rsidR="005502DF">
        <w:t xml:space="preserve">In the Carmichael Mine example in </w:t>
      </w:r>
      <w:r w:rsidR="005502DF" w:rsidRPr="00667915">
        <w:rPr>
          <w:color w:val="auto"/>
        </w:rPr>
        <w:t xml:space="preserve">CASE STUDY </w:t>
      </w:r>
      <w:r w:rsidR="00FC1997">
        <w:rPr>
          <w:color w:val="auto"/>
        </w:rPr>
        <w:t>5</w:t>
      </w:r>
      <w:r w:rsidR="005502DF">
        <w:t>, only two stygofauna taxa were collected during the impact assessment</w:t>
      </w:r>
      <w:r w:rsidR="007D4766">
        <w:t>. One</w:t>
      </w:r>
      <w:r w:rsidR="005502DF">
        <w:t xml:space="preserve"> was represented by two specimens, and th</w:t>
      </w:r>
      <w:r w:rsidR="007D4766">
        <w:t>e sec</w:t>
      </w:r>
      <w:r w:rsidR="00667915">
        <w:t xml:space="preserve">ond by one specimen. With such limited </w:t>
      </w:r>
      <w:r w:rsidR="005502DF">
        <w:t xml:space="preserve">baseline data, it </w:t>
      </w:r>
      <w:r w:rsidR="007D4766">
        <w:t>is difficult</w:t>
      </w:r>
      <w:r w:rsidR="005502DF">
        <w:t xml:space="preserve"> to state whether or not future mining is having an impact on the stygofauna if variables </w:t>
      </w:r>
      <w:r w:rsidR="007D4766">
        <w:t>of</w:t>
      </w:r>
      <w:r w:rsidR="005502DF">
        <w:t xml:space="preserve"> </w:t>
      </w:r>
      <w:r w:rsidR="00667915">
        <w:t xml:space="preserve">only </w:t>
      </w:r>
      <w:r w:rsidR="005502DF">
        <w:t>stygofauna diversity and abundance</w:t>
      </w:r>
      <w:r w:rsidR="007D4766">
        <w:t xml:space="preserve"> are used</w:t>
      </w:r>
      <w:r w:rsidR="005502DF">
        <w:t xml:space="preserve">. </w:t>
      </w:r>
    </w:p>
    <w:p w14:paraId="31C8BD22" w14:textId="77777777" w:rsidR="005502DF" w:rsidRDefault="005502DF" w:rsidP="005502DF">
      <w:pPr>
        <w:pStyle w:val="BodyText"/>
      </w:pPr>
      <w:r>
        <w:t>Nevertheless, although there are currently difficulties in setting benchmarks for impact to stygofauna communities, an initial indication of aquifer biodivers</w:t>
      </w:r>
      <w:r w:rsidR="00BB1DD0">
        <w:t>ity is a critical part of an EIA</w:t>
      </w:r>
      <w:r w:rsidR="007D4603">
        <w:t>. A</w:t>
      </w:r>
      <w:r>
        <w:t>s techniques in analysing environmental DNA</w:t>
      </w:r>
      <w:r w:rsidR="00C27BD9">
        <w:t xml:space="preserve"> (</w:t>
      </w:r>
      <w:proofErr w:type="spellStart"/>
      <w:proofErr w:type="gramStart"/>
      <w:r w:rsidR="00C27BD9">
        <w:t>eDNA</w:t>
      </w:r>
      <w:proofErr w:type="spellEnd"/>
      <w:proofErr w:type="gramEnd"/>
      <w:r w:rsidR="00C27BD9">
        <w:t>)</w:t>
      </w:r>
      <w:r w:rsidR="00490A72">
        <w:t xml:space="preserve"> become more refined</w:t>
      </w:r>
      <w:r w:rsidR="00667915">
        <w:t xml:space="preserve"> (see CASE STUDY </w:t>
      </w:r>
      <w:r w:rsidR="00FC1997">
        <w:t>4</w:t>
      </w:r>
      <w:r w:rsidR="00667915">
        <w:t>)</w:t>
      </w:r>
      <w:r>
        <w:t xml:space="preserve">, it may be easier to detect </w:t>
      </w:r>
      <w:r w:rsidR="007D4766">
        <w:t>if</w:t>
      </w:r>
      <w:r w:rsidR="00C27BD9">
        <w:t xml:space="preserve"> a species has become </w:t>
      </w:r>
      <w:r>
        <w:t>absen</w:t>
      </w:r>
      <w:r w:rsidR="00C27BD9">
        <w:t>t from</w:t>
      </w:r>
      <w:r>
        <w:t xml:space="preserve"> an aquifer.</w:t>
      </w:r>
      <w:r w:rsidR="00C27BD9">
        <w:t xml:space="preserve"> Currently, </w:t>
      </w:r>
      <w:proofErr w:type="spellStart"/>
      <w:proofErr w:type="gramStart"/>
      <w:r w:rsidR="00C27BD9">
        <w:t>eDNA</w:t>
      </w:r>
      <w:proofErr w:type="spellEnd"/>
      <w:proofErr w:type="gramEnd"/>
      <w:r w:rsidR="00C27BD9">
        <w:t xml:space="preserve"> is useful in detecting distribution of indicator</w:t>
      </w:r>
      <w:r w:rsidR="00667915">
        <w:t xml:space="preserve"> and rare</w:t>
      </w:r>
      <w:r w:rsidR="00C27BD9">
        <w:t xml:space="preserve"> species of macroinvertebrates (</w:t>
      </w:r>
      <w:proofErr w:type="spellStart"/>
      <w:r w:rsidR="00C27BD9">
        <w:t>Machler</w:t>
      </w:r>
      <w:proofErr w:type="spellEnd"/>
      <w:r w:rsidR="00C27BD9">
        <w:t xml:space="preserve"> et al., 2014)</w:t>
      </w:r>
      <w:r w:rsidR="00490A72">
        <w:t xml:space="preserve"> and fish species richness (Olds et al., 2016)</w:t>
      </w:r>
      <w:r w:rsidR="00667915">
        <w:t>. Modelling</w:t>
      </w:r>
      <w:r w:rsidR="00C27BD9">
        <w:t xml:space="preserve"> techniques are being developed that should soon allow estimates of fish densities (</w:t>
      </w:r>
      <w:proofErr w:type="spellStart"/>
      <w:r w:rsidR="00C27BD9">
        <w:t>Chambert</w:t>
      </w:r>
      <w:proofErr w:type="spellEnd"/>
      <w:r w:rsidR="00C27BD9">
        <w:t xml:space="preserve"> et al., 2017)</w:t>
      </w:r>
      <w:r w:rsidR="000E3BF2">
        <w:t>. Samples of</w:t>
      </w:r>
      <w:r w:rsidR="00C27BD9">
        <w:t xml:space="preserve"> </w:t>
      </w:r>
      <w:proofErr w:type="spellStart"/>
      <w:proofErr w:type="gramStart"/>
      <w:r w:rsidR="00C27BD9">
        <w:t>eDNA</w:t>
      </w:r>
      <w:proofErr w:type="spellEnd"/>
      <w:proofErr w:type="gramEnd"/>
      <w:r w:rsidR="000E3BF2">
        <w:t xml:space="preserve"> have also been used to map the distribution of cryptic subterranean salamanders (</w:t>
      </w:r>
      <w:proofErr w:type="spellStart"/>
      <w:r w:rsidR="000E3BF2">
        <w:t>Gorički</w:t>
      </w:r>
      <w:proofErr w:type="spellEnd"/>
      <w:r w:rsidR="000E3BF2">
        <w:t xml:space="preserve"> et al., 2017), so is likely</w:t>
      </w:r>
      <w:r w:rsidR="00C27BD9">
        <w:t xml:space="preserve"> </w:t>
      </w:r>
      <w:r w:rsidR="000E3BF2">
        <w:t xml:space="preserve">to </w:t>
      </w:r>
      <w:r w:rsidR="00C27BD9">
        <w:t xml:space="preserve">be a </w:t>
      </w:r>
      <w:r w:rsidR="007D4603">
        <w:t xml:space="preserve">useful </w:t>
      </w:r>
      <w:r w:rsidR="00C27BD9">
        <w:t xml:space="preserve">tool </w:t>
      </w:r>
      <w:r w:rsidR="000E3BF2">
        <w:t xml:space="preserve">in future assessments of </w:t>
      </w:r>
      <w:r w:rsidR="00C27BD9">
        <w:t>aquifer ecosystems</w:t>
      </w:r>
      <w:r w:rsidR="00EF0286">
        <w:t xml:space="preserve"> and ecological processes (</w:t>
      </w:r>
      <w:proofErr w:type="spellStart"/>
      <w:r w:rsidR="00EF0286">
        <w:t>Korbel</w:t>
      </w:r>
      <w:proofErr w:type="spellEnd"/>
      <w:r w:rsidR="00EF0286">
        <w:t xml:space="preserve"> et al., 2017)</w:t>
      </w:r>
      <w:r w:rsidR="00C27BD9">
        <w:t xml:space="preserve">.  </w:t>
      </w:r>
      <w:r>
        <w:t xml:space="preserve"> </w:t>
      </w:r>
    </w:p>
    <w:p w14:paraId="31C8BD23" w14:textId="77777777" w:rsidR="001D400D" w:rsidRDefault="001D400D" w:rsidP="005502DF">
      <w:pPr>
        <w:pStyle w:val="BodyText"/>
      </w:pPr>
    </w:p>
    <w:p w14:paraId="31C8BD24" w14:textId="77777777" w:rsidR="00BB1122" w:rsidRDefault="0052047F" w:rsidP="00BB1122">
      <w:pPr>
        <w:pStyle w:val="BodyText"/>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C2F3FF" w:themeFill="accent1" w:themeFillTint="33"/>
      </w:pPr>
      <w:r>
        <w:t xml:space="preserve">OUTCOME: </w:t>
      </w:r>
      <w:r w:rsidR="00465DAB">
        <w:t xml:space="preserve">The proponent will have a management plan which prioritises avoidance and justifies mitigation measures to reduce impacts to GDEs. The management plan will include specific monitoring protocols to assess effectiveness of mitigation strategies or identify unexpected </w:t>
      </w:r>
      <w:r w:rsidR="007D4603">
        <w:t>impacts</w:t>
      </w:r>
    </w:p>
    <w:p w14:paraId="31C8BD25" w14:textId="77777777" w:rsidR="00D77F66" w:rsidRDefault="00D77F66" w:rsidP="00D77F66"/>
    <w:p w14:paraId="31C8BD26" w14:textId="77777777" w:rsidR="00D77F66" w:rsidRDefault="00D77F66" w:rsidP="00D77F66"/>
    <w:p w14:paraId="31C8BD27" w14:textId="77777777" w:rsidR="007A7715" w:rsidRDefault="007A7715" w:rsidP="005502DF">
      <w:pPr>
        <w:pStyle w:val="BodyText"/>
      </w:pPr>
    </w:p>
    <w:p w14:paraId="31C8BD28" w14:textId="77777777" w:rsidR="00A01559" w:rsidRDefault="00A01559" w:rsidP="00F3119C">
      <w:pPr>
        <w:pStyle w:val="Heading1"/>
      </w:pPr>
      <w:bookmarkStart w:id="85" w:name="_Toc509996498"/>
      <w:r w:rsidRPr="004C356C">
        <w:lastRenderedPageBreak/>
        <w:t>Concluding</w:t>
      </w:r>
      <w:r>
        <w:t xml:space="preserve"> statements</w:t>
      </w:r>
      <w:r w:rsidR="007D4603">
        <w:t xml:space="preserve"> and </w:t>
      </w:r>
      <w:r w:rsidR="00A06BDB">
        <w:t>recommendations</w:t>
      </w:r>
      <w:bookmarkEnd w:id="85"/>
    </w:p>
    <w:p w14:paraId="31C8BD29" w14:textId="77777777" w:rsidR="00BF32D0" w:rsidRPr="00615E8D" w:rsidRDefault="00BF32D0" w:rsidP="00615E8D">
      <w:pPr>
        <w:pStyle w:val="BodyText"/>
      </w:pPr>
      <w:r w:rsidRPr="00615E8D">
        <w:t xml:space="preserve">New </w:t>
      </w:r>
      <w:r w:rsidR="007D4603">
        <w:t>CSG</w:t>
      </w:r>
      <w:r w:rsidRPr="00615E8D">
        <w:t xml:space="preserve"> and </w:t>
      </w:r>
      <w:r w:rsidR="007D4603">
        <w:t>LCM</w:t>
      </w:r>
      <w:r w:rsidRPr="00615E8D">
        <w:t xml:space="preserve"> projects in Australia </w:t>
      </w:r>
      <w:r w:rsidR="004B18B4">
        <w:t>and expansion</w:t>
      </w:r>
      <w:r w:rsidR="007D4603">
        <w:t>s</w:t>
      </w:r>
      <w:r w:rsidR="004B18B4">
        <w:t xml:space="preserve"> to existing developments </w:t>
      </w:r>
      <w:r w:rsidRPr="00615E8D">
        <w:t xml:space="preserve">need to consider impacts to GDEs because of </w:t>
      </w:r>
      <w:r w:rsidR="007D4603">
        <w:t xml:space="preserve">legislative </w:t>
      </w:r>
      <w:r w:rsidRPr="00615E8D">
        <w:t>requirements. State-based policies aimed at protecting GDEs have been evolving since 2002, as have guidelines and tools to assist in the proper consideration of GDEs in impact assessment. The refinement of policy and assessment protocols over the past decade as new information becomes available has resulted in some inconsistencies in how impacts to GDEs are considered. Th</w:t>
      </w:r>
      <w:r w:rsidR="00615E8D" w:rsidRPr="00615E8D">
        <w:t>is</w:t>
      </w:r>
      <w:r w:rsidRPr="00615E8D">
        <w:t xml:space="preserve"> Explanatory Note provide</w:t>
      </w:r>
      <w:r w:rsidR="00615E8D" w:rsidRPr="00615E8D">
        <w:t>s</w:t>
      </w:r>
      <w:r w:rsidRPr="00615E8D">
        <w:t xml:space="preserve"> an assessment framework that is consistent with requirements in both New South Wales and Queensland, and can be applied to other states </w:t>
      </w:r>
      <w:r w:rsidR="007D4603">
        <w:t xml:space="preserve">and territories </w:t>
      </w:r>
      <w:r w:rsidRPr="00615E8D">
        <w:t>as necessary.</w:t>
      </w:r>
    </w:p>
    <w:p w14:paraId="31C8BD2A" w14:textId="77777777" w:rsidR="00BF32D0" w:rsidRPr="00615E8D" w:rsidRDefault="00BF32D0" w:rsidP="00615E8D">
      <w:pPr>
        <w:pStyle w:val="BodyText"/>
      </w:pPr>
      <w:r w:rsidRPr="00615E8D">
        <w:t xml:space="preserve">There are still many uncertainties in our understanding of how </w:t>
      </w:r>
      <w:r w:rsidR="007D4603">
        <w:t>GDE</w:t>
      </w:r>
      <w:r w:rsidR="007D4603" w:rsidRPr="00615E8D">
        <w:t xml:space="preserve">s </w:t>
      </w:r>
      <w:r w:rsidRPr="00615E8D">
        <w:t xml:space="preserve">use groundwater, and how they are then affected </w:t>
      </w:r>
      <w:r w:rsidR="007D4603">
        <w:t>when</w:t>
      </w:r>
      <w:r w:rsidR="007D4603" w:rsidRPr="00615E8D">
        <w:t xml:space="preserve"> </w:t>
      </w:r>
      <w:r w:rsidRPr="00615E8D">
        <w:t>the groundwater is removed or contaminated. Little is also known about how best to manage GDEs when impacts are imminent</w:t>
      </w:r>
      <w:r w:rsidR="00615E8D" w:rsidRPr="00615E8D">
        <w:t>, or</w:t>
      </w:r>
      <w:r w:rsidR="007D4603">
        <w:t xml:space="preserve"> how</w:t>
      </w:r>
      <w:r w:rsidR="00615E8D" w:rsidRPr="00615E8D">
        <w:t xml:space="preserve"> to restore impact</w:t>
      </w:r>
      <w:r w:rsidR="007D4603">
        <w:t>ed</w:t>
      </w:r>
      <w:r w:rsidR="00615E8D" w:rsidRPr="00615E8D">
        <w:t xml:space="preserve"> GDEs</w:t>
      </w:r>
      <w:r w:rsidRPr="00615E8D">
        <w:t>. All GDE assessments need to take these uncertaint</w:t>
      </w:r>
      <w:r w:rsidR="00FE7682" w:rsidRPr="00615E8D">
        <w:t>ies</w:t>
      </w:r>
      <w:r w:rsidRPr="00615E8D">
        <w:t xml:space="preserve"> into account and should adapt to new knowledge that </w:t>
      </w:r>
      <w:r w:rsidR="00FE7682" w:rsidRPr="00615E8D">
        <w:t>be</w:t>
      </w:r>
      <w:r w:rsidRPr="00615E8D">
        <w:t xml:space="preserve">comes available. </w:t>
      </w:r>
    </w:p>
    <w:p w14:paraId="31C8BD2B" w14:textId="77777777" w:rsidR="00BF32D0" w:rsidRPr="00615E8D" w:rsidRDefault="00BD0CD7" w:rsidP="00615E8D">
      <w:pPr>
        <w:pStyle w:val="BodyText"/>
      </w:pPr>
      <w:r>
        <w:rPr>
          <w:noProof/>
        </w:rPr>
        <w:drawing>
          <wp:anchor distT="0" distB="0" distL="114300" distR="114300" simplePos="0" relativeHeight="251907584" behindDoc="0" locked="0" layoutInCell="1" allowOverlap="1" wp14:anchorId="31C8C31A" wp14:editId="31C8C31B">
            <wp:simplePos x="0" y="0"/>
            <wp:positionH relativeFrom="margin">
              <wp:align>left</wp:align>
            </wp:positionH>
            <wp:positionV relativeFrom="paragraph">
              <wp:posOffset>789673</wp:posOffset>
            </wp:positionV>
            <wp:extent cx="2880360" cy="1953260"/>
            <wp:effectExtent l="0" t="0" r="0" b="8890"/>
            <wp:wrapThrough wrapText="bothSides">
              <wp:wrapPolygon edited="0">
                <wp:start x="0" y="0"/>
                <wp:lineTo x="0" y="21488"/>
                <wp:lineTo x="21429" y="21488"/>
                <wp:lineTo x="21429" y="0"/>
                <wp:lineTo x="0" y="0"/>
              </wp:wrapPolygon>
            </wp:wrapThrough>
            <wp:docPr id="61449" name="Picture 6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9" name="DSC_9745v1.jpg"/>
                    <pic:cNvPicPr/>
                  </pic:nvPicPr>
                  <pic:blipFill>
                    <a:blip r:embed="rId88" cstate="email">
                      <a:extLst>
                        <a:ext uri="{28A0092B-C50C-407E-A947-70E740481C1C}">
                          <a14:useLocalDpi xmlns:a14="http://schemas.microsoft.com/office/drawing/2010/main"/>
                        </a:ext>
                      </a:extLst>
                    </a:blip>
                    <a:stretch>
                      <a:fillRect/>
                    </a:stretch>
                  </pic:blipFill>
                  <pic:spPr>
                    <a:xfrm>
                      <a:off x="0" y="0"/>
                      <a:ext cx="2880360" cy="1953260"/>
                    </a:xfrm>
                    <a:prstGeom prst="rect">
                      <a:avLst/>
                    </a:prstGeom>
                  </pic:spPr>
                </pic:pic>
              </a:graphicData>
            </a:graphic>
            <wp14:sizeRelH relativeFrom="margin">
              <wp14:pctWidth>0</wp14:pctWidth>
            </wp14:sizeRelH>
            <wp14:sizeRelV relativeFrom="margin">
              <wp14:pctHeight>0</wp14:pctHeight>
            </wp14:sizeRelV>
          </wp:anchor>
        </w:drawing>
      </w:r>
      <w:r w:rsidR="00BF32D0" w:rsidRPr="00615E8D">
        <w:t>Online spatial and non-spatial databases are critical components to improving GDE assessment. However, many GDEs are currently unmapped so impact assessments should not rely solely on searches of online databases. Where there are potential GDEs</w:t>
      </w:r>
      <w:r w:rsidR="007D4603">
        <w:t xml:space="preserve"> in the project impact area</w:t>
      </w:r>
      <w:r w:rsidR="00BF32D0" w:rsidRPr="00615E8D">
        <w:t xml:space="preserve">, field-based assessments </w:t>
      </w:r>
      <w:r w:rsidR="007D4603">
        <w:t>must</w:t>
      </w:r>
      <w:r w:rsidR="00BF32D0" w:rsidRPr="00615E8D">
        <w:t xml:space="preserve"> be conducted to determine their ecological condition and value, and the nature of their reliance on groundwater. The power and accuracy of online databases w</w:t>
      </w:r>
      <w:r w:rsidR="006A219B">
        <w:t>ould</w:t>
      </w:r>
      <w:r w:rsidR="00BF32D0" w:rsidRPr="00615E8D">
        <w:t xml:space="preserve"> be substantially improved if the different databases were coordinated, curated and updated regularly with data gathered during impact assessments.</w:t>
      </w:r>
    </w:p>
    <w:p w14:paraId="31C8BD2C" w14:textId="77777777" w:rsidR="00615E8D" w:rsidRPr="00615E8D" w:rsidRDefault="00BF32D0" w:rsidP="00615E8D">
      <w:pPr>
        <w:pStyle w:val="BodyText"/>
      </w:pPr>
      <w:r w:rsidRPr="00615E8D">
        <w:t xml:space="preserve">Many of the options for mitigating impacts to GDEs have largely gone untested, and </w:t>
      </w:r>
      <w:r w:rsidR="006A219B">
        <w:t>deserve further</w:t>
      </w:r>
      <w:r w:rsidRPr="00615E8D">
        <w:t xml:space="preserve"> research. Proposed mitigation measures should be carefully considered and justified. Proponents should identify clear and testable criteria that can be used to determine success</w:t>
      </w:r>
      <w:r w:rsidR="006A219B">
        <w:t xml:space="preserve"> of the </w:t>
      </w:r>
      <w:r w:rsidR="009F2DF2">
        <w:t>proposed</w:t>
      </w:r>
      <w:r w:rsidR="006A219B">
        <w:t xml:space="preserve"> mitigation strategies. O</w:t>
      </w:r>
      <w:r w:rsidRPr="00615E8D">
        <w:t>ptions should also be given in the event of failure.</w:t>
      </w:r>
    </w:p>
    <w:p w14:paraId="31C8BD2D" w14:textId="77777777" w:rsidR="00615E8D" w:rsidRDefault="00615E8D" w:rsidP="00F3119C">
      <w:pPr>
        <w:pStyle w:val="Heading2"/>
      </w:pPr>
      <w:bookmarkStart w:id="86" w:name="_Toc509996499"/>
      <w:r>
        <w:t>Summary of recommendations</w:t>
      </w:r>
      <w:bookmarkEnd w:id="86"/>
    </w:p>
    <w:p w14:paraId="31C8BD2E" w14:textId="77777777" w:rsidR="004B18B4" w:rsidRDefault="004B18B4" w:rsidP="003A7E3E">
      <w:pPr>
        <w:pStyle w:val="BodyText"/>
      </w:pPr>
      <w:r>
        <w:t xml:space="preserve">All recommendations apply to both </w:t>
      </w:r>
      <w:r w:rsidR="006A219B">
        <w:t>CSG</w:t>
      </w:r>
      <w:r>
        <w:t xml:space="preserve"> and </w:t>
      </w:r>
      <w:r w:rsidR="006A219B">
        <w:t>LCM</w:t>
      </w:r>
      <w:r>
        <w:t xml:space="preserve"> developments, and expansion of existing projects.</w:t>
      </w:r>
    </w:p>
    <w:p w14:paraId="31C8BD2F" w14:textId="77777777" w:rsidR="003A7E3E" w:rsidRDefault="003A7E3E" w:rsidP="008C5F19">
      <w:pPr>
        <w:pStyle w:val="BodyText"/>
        <w:numPr>
          <w:ilvl w:val="0"/>
          <w:numId w:val="48"/>
        </w:numPr>
      </w:pPr>
      <w:r>
        <w:t>A number of helpful publications are mentioned throughout this Explanatory Note</w:t>
      </w:r>
      <w:r w:rsidR="00F9609B">
        <w:t xml:space="preserve"> to aid proponents</w:t>
      </w:r>
      <w:r>
        <w:t>. Where possible, hyperlinks are given to open-access reports and relevant websites. However, some references include scientific journal papers that may need to be purchased as a low, one-off cost.</w:t>
      </w:r>
    </w:p>
    <w:p w14:paraId="31C8BD30" w14:textId="77777777" w:rsidR="001D400D" w:rsidRDefault="001D400D" w:rsidP="008C5F19">
      <w:pPr>
        <w:pStyle w:val="BodyText"/>
        <w:numPr>
          <w:ilvl w:val="0"/>
          <w:numId w:val="48"/>
        </w:numPr>
      </w:pPr>
      <w:r>
        <w:t xml:space="preserve">Proponents need to consider </w:t>
      </w:r>
      <w:r w:rsidRPr="005E1B49">
        <w:rPr>
          <w:b/>
        </w:rPr>
        <w:t>all</w:t>
      </w:r>
      <w:r w:rsidRPr="001D400D">
        <w:t xml:space="preserve"> GDEs, including those which are only partially dependent on groundwater and do not support any listed species.  For this reason, an assessment of ecological condition, rather than ecological value is critical in establishing a baseline indication of the ecological condition</w:t>
      </w:r>
    </w:p>
    <w:p w14:paraId="31C8BD31" w14:textId="77777777" w:rsidR="003A7E3E" w:rsidRDefault="003A7E3E" w:rsidP="008C5F19">
      <w:pPr>
        <w:pStyle w:val="BodyText"/>
        <w:numPr>
          <w:ilvl w:val="0"/>
          <w:numId w:val="48"/>
        </w:numPr>
      </w:pPr>
      <w:r>
        <w:t>Use the GDE Atlas, national-, state- and local-scale spatial data, remote sensing, expert knowledge and scientific studies to create and update conceptual models in an integrated desktop study guided by GDE rules of likely groundwater dependence. This will indicate potential GDE presence in and around the project impact area and capture the relationships between potential GDEs and groundwater.</w:t>
      </w:r>
    </w:p>
    <w:p w14:paraId="31C8BD32" w14:textId="77777777" w:rsidR="003A7E3E" w:rsidRDefault="003A7E3E" w:rsidP="008C5F19">
      <w:pPr>
        <w:pStyle w:val="BodyText"/>
        <w:numPr>
          <w:ilvl w:val="0"/>
          <w:numId w:val="48"/>
        </w:numPr>
      </w:pPr>
      <w:r>
        <w:t>Assess ecological water requirements of GDEs and use these to confirm causal pathways (section 3.1) that may create a change in GDE status through altered groundwater regimes. Use multiple lines of evidence to determine groundwater dependence where possible.</w:t>
      </w:r>
    </w:p>
    <w:p w14:paraId="31C8BD33" w14:textId="77777777" w:rsidR="003A7E3E" w:rsidRDefault="003A7E3E" w:rsidP="008C5F19">
      <w:pPr>
        <w:pStyle w:val="BodyText"/>
        <w:numPr>
          <w:ilvl w:val="0"/>
          <w:numId w:val="48"/>
        </w:numPr>
      </w:pPr>
      <w:r>
        <w:lastRenderedPageBreak/>
        <w:t xml:space="preserve">Proponents should identify a suitable number of reference sites outside the project impact area that are representative of GDEs in the project impact area. The sampling regime (number of sites and frequency of sampling) needs to reflect ecological value and condition, level of groundwater dependence and level of risk to the GDE, </w:t>
      </w:r>
      <w:r w:rsidR="00BB1DD0">
        <w:t>and must be justified in the EIA</w:t>
      </w:r>
      <w:r>
        <w:t>.</w:t>
      </w:r>
    </w:p>
    <w:p w14:paraId="31C8BD34" w14:textId="77777777" w:rsidR="003A7E3E" w:rsidRDefault="003A7E3E" w:rsidP="008C5F19">
      <w:pPr>
        <w:pStyle w:val="BodyText"/>
        <w:numPr>
          <w:ilvl w:val="0"/>
          <w:numId w:val="48"/>
        </w:numPr>
      </w:pPr>
      <w:r>
        <w:t>Risk assessme</w:t>
      </w:r>
      <w:r w:rsidR="00BB1DD0">
        <w:t>nt must be undertaken in all EIA</w:t>
      </w:r>
      <w:r>
        <w:t xml:space="preserve">s to identify GDEs with high or medium ecological value and/or at high or medium risk from impacts of CSG and LCM activities so that management actions can be prioritised to reduce risks. </w:t>
      </w:r>
      <w:r w:rsidRPr="005C5D69">
        <w:rPr>
          <w:b/>
        </w:rPr>
        <w:t>All</w:t>
      </w:r>
      <w:r>
        <w:t xml:space="preserve"> GDEs must be protected, however.</w:t>
      </w:r>
    </w:p>
    <w:p w14:paraId="31C8BD35" w14:textId="77777777" w:rsidR="003A7E3E" w:rsidRDefault="003A7E3E" w:rsidP="008C5F19">
      <w:pPr>
        <w:pStyle w:val="BodyText"/>
        <w:numPr>
          <w:ilvl w:val="0"/>
          <w:numId w:val="48"/>
        </w:numPr>
      </w:pPr>
      <w:r>
        <w:t>GDE impact assessments must not rely solely on online data bases but should be followed up with desktop and field surveys by qualified specialists who use appropriate methods and models.</w:t>
      </w:r>
    </w:p>
    <w:p w14:paraId="31C8BD36" w14:textId="77777777" w:rsidR="003A7E3E" w:rsidRDefault="003A7E3E" w:rsidP="008C5F19">
      <w:pPr>
        <w:pStyle w:val="BodyText"/>
        <w:numPr>
          <w:ilvl w:val="0"/>
          <w:numId w:val="48"/>
        </w:numPr>
      </w:pPr>
      <w:r>
        <w:t>Project consultants should share info</w:t>
      </w:r>
      <w:r w:rsidR="00BB1DD0">
        <w:t>rmation during all stages of EIA</w:t>
      </w:r>
      <w:r>
        <w:t xml:space="preserve"> development to provide a full assessment of potential impacts on GDEs.</w:t>
      </w:r>
    </w:p>
    <w:p w14:paraId="31C8BD37" w14:textId="77777777" w:rsidR="003A7E3E" w:rsidRDefault="003A7E3E" w:rsidP="008C5F19">
      <w:pPr>
        <w:pStyle w:val="BodyText"/>
        <w:numPr>
          <w:ilvl w:val="0"/>
          <w:numId w:val="48"/>
        </w:numPr>
      </w:pPr>
      <w:r>
        <w:t>Avoidance of impacts to GDEs is the preferred option for preventing significant impacts from CSG and LCM activities.</w:t>
      </w:r>
    </w:p>
    <w:p w14:paraId="31C8BD38" w14:textId="77777777" w:rsidR="003A7E3E" w:rsidRDefault="003A7E3E" w:rsidP="008C5F19">
      <w:pPr>
        <w:pStyle w:val="BodyText"/>
        <w:numPr>
          <w:ilvl w:val="0"/>
          <w:numId w:val="48"/>
        </w:numPr>
      </w:pPr>
      <w:r>
        <w:t>Mitigation strategies to prevent impacts to GDEs are critical when avoidance is not possible. These strateg</w:t>
      </w:r>
      <w:r w:rsidR="00BB1DD0">
        <w:t>ies are required early in an EIA</w:t>
      </w:r>
      <w:r>
        <w:t xml:space="preserve"> to protect areas potentially at risk. Targeted monitoring is needed to confirm the effectiveness of these mitigation strategies.</w:t>
      </w:r>
    </w:p>
    <w:p w14:paraId="31C8BD39" w14:textId="77777777" w:rsidR="003B3605" w:rsidRDefault="003A7E3E" w:rsidP="008C5F19">
      <w:pPr>
        <w:pStyle w:val="BodyText"/>
        <w:numPr>
          <w:ilvl w:val="0"/>
          <w:numId w:val="48"/>
        </w:numPr>
      </w:pPr>
      <w:r>
        <w:t>Identify hydrological and/or ecological variables that serve as early indicators of groundwater change to draw attention to imminent impacts to GDEs.</w:t>
      </w:r>
    </w:p>
    <w:p w14:paraId="31C8BD3A" w14:textId="77777777" w:rsidR="003B3605" w:rsidRDefault="003B3605">
      <w:pPr>
        <w:spacing w:after="0"/>
      </w:pPr>
      <w:r>
        <w:br w:type="page"/>
      </w:r>
    </w:p>
    <w:p w14:paraId="31C8BD3B" w14:textId="77777777" w:rsidR="003B3605" w:rsidRDefault="005E1B49" w:rsidP="00F3119C">
      <w:pPr>
        <w:pStyle w:val="Heading1"/>
        <w:pageBreakBefore w:val="0"/>
        <w:tabs>
          <w:tab w:val="clear" w:pos="1134"/>
          <w:tab w:val="left" w:pos="426"/>
        </w:tabs>
        <w:spacing w:before="480" w:after="360" w:line="240" w:lineRule="auto"/>
        <w:ind w:left="1134" w:hanging="1134"/>
      </w:pPr>
      <w:r>
        <w:lastRenderedPageBreak/>
        <w:t xml:space="preserve"> </w:t>
      </w:r>
      <w:bookmarkStart w:id="87" w:name="_Toc509996500"/>
      <w:r w:rsidR="003B3605">
        <w:t>Acknowledgements</w:t>
      </w:r>
      <w:bookmarkEnd w:id="87"/>
    </w:p>
    <w:p w14:paraId="31C8BD3C" w14:textId="77777777" w:rsidR="00301D7B" w:rsidRPr="00301D7B" w:rsidRDefault="00301D7B" w:rsidP="003B3605">
      <w:pPr>
        <w:pStyle w:val="BodyText"/>
      </w:pPr>
      <w:r w:rsidRPr="00301D7B">
        <w:t xml:space="preserve">We are very grateful </w:t>
      </w:r>
      <w:r>
        <w:t xml:space="preserve">to Professor Andrew </w:t>
      </w:r>
      <w:proofErr w:type="spellStart"/>
      <w:r>
        <w:t>Boulton</w:t>
      </w:r>
      <w:proofErr w:type="spellEnd"/>
      <w:r>
        <w:t xml:space="preserve"> for his guidance, support and expertise in developing this Explanatory Note. We would also like to thank Sarah Taylor </w:t>
      </w:r>
      <w:r w:rsidR="00322A1D">
        <w:t>(Office of Water Science) for her knowledge and direction as well a</w:t>
      </w:r>
      <w:r w:rsidR="007A54E1">
        <w:t>s</w:t>
      </w:r>
      <w:r w:rsidR="00322A1D">
        <w:t xml:space="preserve"> the IESC who provi</w:t>
      </w:r>
      <w:r w:rsidR="009A3DA9">
        <w:t>ded valuable comments to add value to</w:t>
      </w:r>
      <w:r w:rsidR="00322A1D">
        <w:t xml:space="preserve"> this document.</w:t>
      </w:r>
    </w:p>
    <w:p w14:paraId="31C8BD3D" w14:textId="77777777" w:rsidR="003A7E3E" w:rsidRPr="004B18B4" w:rsidRDefault="003A7E3E" w:rsidP="004B18B4">
      <w:pPr>
        <w:pStyle w:val="BodyText"/>
      </w:pPr>
    </w:p>
    <w:p w14:paraId="31C8BD3E" w14:textId="77777777" w:rsidR="00615E8D" w:rsidRDefault="00615E8D" w:rsidP="002C1F1E">
      <w:pPr>
        <w:pStyle w:val="BodyText"/>
      </w:pPr>
    </w:p>
    <w:p w14:paraId="31C8BD3F" w14:textId="77777777" w:rsidR="00A06BDB" w:rsidRDefault="00A06BDB" w:rsidP="00F3119C">
      <w:pPr>
        <w:pStyle w:val="Heading2"/>
        <w:rPr>
          <w:sz w:val="24"/>
        </w:rPr>
      </w:pPr>
      <w:r>
        <w:br w:type="page"/>
      </w:r>
    </w:p>
    <w:p w14:paraId="31C8BD40" w14:textId="77777777" w:rsidR="00BE6920" w:rsidRDefault="000C6EC2" w:rsidP="00F3119C">
      <w:pPr>
        <w:pStyle w:val="Heading1"/>
        <w:pageBreakBefore w:val="0"/>
        <w:tabs>
          <w:tab w:val="clear" w:pos="1134"/>
          <w:tab w:val="left" w:pos="567"/>
        </w:tabs>
        <w:spacing w:before="480" w:after="360" w:line="240" w:lineRule="auto"/>
        <w:ind w:left="1134" w:hanging="1134"/>
      </w:pPr>
      <w:bookmarkStart w:id="88" w:name="_Toc509996501"/>
      <w:r>
        <w:lastRenderedPageBreak/>
        <w:t>A</w:t>
      </w:r>
      <w:r w:rsidR="00AF15AF">
        <w:t>bbreviations and a</w:t>
      </w:r>
      <w:r>
        <w:t>cronyms</w:t>
      </w:r>
      <w:bookmarkEnd w:id="88"/>
    </w:p>
    <w:p w14:paraId="31C8BD41" w14:textId="77777777" w:rsidR="00E401A4" w:rsidRDefault="00E401A4" w:rsidP="00F056D7">
      <w:pPr>
        <w:pStyle w:val="BodyText"/>
        <w:tabs>
          <w:tab w:val="left" w:pos="709"/>
        </w:tabs>
      </w:pPr>
      <w:r>
        <w:t xml:space="preserve">ACLUMP </w:t>
      </w:r>
      <w:r>
        <w:tab/>
        <w:t>Australian Collaborative Land Use and Management Program</w:t>
      </w:r>
    </w:p>
    <w:p w14:paraId="31C8BD42" w14:textId="77777777" w:rsidR="00C52BAF" w:rsidRDefault="00C52BAF" w:rsidP="00F056D7">
      <w:pPr>
        <w:pStyle w:val="BodyText"/>
        <w:tabs>
          <w:tab w:val="left" w:pos="709"/>
        </w:tabs>
      </w:pPr>
      <w:r>
        <w:t>BBN</w:t>
      </w:r>
      <w:r>
        <w:tab/>
      </w:r>
      <w:r>
        <w:tab/>
      </w:r>
      <w:r>
        <w:tab/>
      </w:r>
      <w:r>
        <w:rPr>
          <w:color w:val="auto"/>
        </w:rPr>
        <w:t>Bayesian Belief Network</w:t>
      </w:r>
    </w:p>
    <w:p w14:paraId="31C8BD43" w14:textId="77777777" w:rsidR="00C96307" w:rsidRDefault="00C96307" w:rsidP="00F056D7">
      <w:pPr>
        <w:pStyle w:val="BodyText"/>
        <w:tabs>
          <w:tab w:val="left" w:pos="709"/>
        </w:tabs>
      </w:pPr>
      <w:r>
        <w:t xml:space="preserve">BOM </w:t>
      </w:r>
      <w:r>
        <w:tab/>
      </w:r>
      <w:r>
        <w:tab/>
      </w:r>
      <w:r>
        <w:tab/>
        <w:t>Bureau of Meteorology</w:t>
      </w:r>
    </w:p>
    <w:p w14:paraId="31C8BD44" w14:textId="77777777" w:rsidR="00F056D7" w:rsidRDefault="00F056D7" w:rsidP="00F056D7">
      <w:pPr>
        <w:pStyle w:val="BodyText"/>
        <w:tabs>
          <w:tab w:val="left" w:pos="709"/>
        </w:tabs>
      </w:pPr>
      <w:r>
        <w:t>CSG</w:t>
      </w:r>
      <w:r>
        <w:tab/>
      </w:r>
      <w:r w:rsidR="004B7CBD">
        <w:tab/>
      </w:r>
      <w:r w:rsidR="004B7CBD">
        <w:tab/>
      </w:r>
      <w:r>
        <w:t xml:space="preserve">Coal seam gas  </w:t>
      </w:r>
    </w:p>
    <w:p w14:paraId="31C8BD45" w14:textId="77777777" w:rsidR="00E401A4" w:rsidRDefault="00E401A4" w:rsidP="00F056D7">
      <w:pPr>
        <w:pStyle w:val="BodyText"/>
        <w:tabs>
          <w:tab w:val="left" w:pos="709"/>
        </w:tabs>
      </w:pPr>
      <w:r>
        <w:t>CSIRO</w:t>
      </w:r>
      <w:r>
        <w:tab/>
      </w:r>
      <w:r>
        <w:tab/>
      </w:r>
      <w:r>
        <w:tab/>
      </w:r>
      <w:r w:rsidR="00CF5E20">
        <w:t>Commonwealth Scientific Industrial Research Organisation</w:t>
      </w:r>
    </w:p>
    <w:p w14:paraId="31C8BD46" w14:textId="77777777" w:rsidR="00C96307" w:rsidRDefault="00C96307" w:rsidP="00F056D7">
      <w:pPr>
        <w:pStyle w:val="BodyText"/>
        <w:tabs>
          <w:tab w:val="left" w:pos="709"/>
        </w:tabs>
      </w:pPr>
      <w:r>
        <w:t>DEM</w:t>
      </w:r>
      <w:r>
        <w:tab/>
      </w:r>
      <w:r>
        <w:tab/>
      </w:r>
      <w:r>
        <w:tab/>
        <w:t>Digital Elevation Model</w:t>
      </w:r>
    </w:p>
    <w:p w14:paraId="31C8BD47" w14:textId="77777777" w:rsidR="00C96307" w:rsidRDefault="00C96307" w:rsidP="00C96307">
      <w:pPr>
        <w:pStyle w:val="BodyText"/>
        <w:tabs>
          <w:tab w:val="left" w:pos="709"/>
        </w:tabs>
      </w:pPr>
      <w:r>
        <w:t>DPI</w:t>
      </w:r>
      <w:r>
        <w:tab/>
      </w:r>
      <w:r>
        <w:tab/>
      </w:r>
      <w:r>
        <w:tab/>
        <w:t>Department of Primary Industries</w:t>
      </w:r>
    </w:p>
    <w:p w14:paraId="31C8BD48" w14:textId="77777777" w:rsidR="00C96307" w:rsidRDefault="00C96307" w:rsidP="00C96307">
      <w:pPr>
        <w:pStyle w:val="BodyText"/>
        <w:tabs>
          <w:tab w:val="left" w:pos="709"/>
        </w:tabs>
      </w:pPr>
      <w:r>
        <w:t>DSITI</w:t>
      </w:r>
      <w:r>
        <w:tab/>
      </w:r>
      <w:r>
        <w:tab/>
      </w:r>
      <w:r>
        <w:tab/>
      </w:r>
      <w:r w:rsidRPr="004E146C">
        <w:t>Department of Science, Information Technology and Innovation</w:t>
      </w:r>
      <w:r>
        <w:tab/>
      </w:r>
    </w:p>
    <w:p w14:paraId="31C8BD49" w14:textId="77777777" w:rsidR="00A254AE" w:rsidRDefault="00BB1DD0" w:rsidP="00F056D7">
      <w:pPr>
        <w:pStyle w:val="BodyText"/>
        <w:tabs>
          <w:tab w:val="left" w:pos="709"/>
        </w:tabs>
      </w:pPr>
      <w:r>
        <w:t>EIA</w:t>
      </w:r>
      <w:r w:rsidR="00A254AE">
        <w:tab/>
      </w:r>
      <w:r w:rsidR="004B7CBD">
        <w:tab/>
      </w:r>
      <w:r w:rsidR="004B7CBD">
        <w:tab/>
      </w:r>
      <w:r>
        <w:t>Environmental Impact Assessment</w:t>
      </w:r>
    </w:p>
    <w:p w14:paraId="31C8BD4A" w14:textId="77777777" w:rsidR="00BB1DD0" w:rsidRDefault="00BB1DD0" w:rsidP="00F056D7">
      <w:pPr>
        <w:pStyle w:val="BodyText"/>
        <w:tabs>
          <w:tab w:val="left" w:pos="709"/>
        </w:tabs>
      </w:pPr>
      <w:r>
        <w:t>EIS</w:t>
      </w:r>
      <w:r>
        <w:tab/>
      </w:r>
      <w:r>
        <w:tab/>
      </w:r>
      <w:r>
        <w:tab/>
        <w:t>Environmental Impact Statement</w:t>
      </w:r>
    </w:p>
    <w:p w14:paraId="31C8BD4B" w14:textId="77777777" w:rsidR="0042326D" w:rsidRDefault="0042326D" w:rsidP="00F056D7">
      <w:pPr>
        <w:pStyle w:val="BodyText"/>
        <w:tabs>
          <w:tab w:val="left" w:pos="709"/>
        </w:tabs>
      </w:pPr>
      <w:r>
        <w:t>EPA</w:t>
      </w:r>
      <w:r>
        <w:tab/>
      </w:r>
      <w:r w:rsidR="004B7CBD">
        <w:tab/>
      </w:r>
      <w:r w:rsidR="004B7CBD">
        <w:tab/>
      </w:r>
      <w:r>
        <w:t>Environment Protection Agency</w:t>
      </w:r>
    </w:p>
    <w:p w14:paraId="31C8BD4C" w14:textId="77777777" w:rsidR="0085632B" w:rsidRDefault="00F056D7" w:rsidP="00F056D7">
      <w:pPr>
        <w:pStyle w:val="BodyText"/>
        <w:tabs>
          <w:tab w:val="left" w:pos="709"/>
        </w:tabs>
      </w:pPr>
      <w:r>
        <w:t>EPBC</w:t>
      </w:r>
      <w:r>
        <w:tab/>
      </w:r>
      <w:r w:rsidR="004B7CBD">
        <w:tab/>
      </w:r>
      <w:r w:rsidR="004B7CBD">
        <w:tab/>
      </w:r>
      <w:r>
        <w:t xml:space="preserve">Environment Protection and Biodiversity Conservation </w:t>
      </w:r>
    </w:p>
    <w:p w14:paraId="31C8BD4D" w14:textId="77777777" w:rsidR="005943E0" w:rsidRDefault="005943E0" w:rsidP="00F056D7">
      <w:pPr>
        <w:pStyle w:val="BodyText"/>
        <w:tabs>
          <w:tab w:val="left" w:pos="709"/>
        </w:tabs>
      </w:pPr>
      <w:r>
        <w:t>ET</w:t>
      </w:r>
      <w:r>
        <w:tab/>
      </w:r>
      <w:r>
        <w:tab/>
      </w:r>
      <w:r>
        <w:tab/>
        <w:t>Evapotranspiration</w:t>
      </w:r>
    </w:p>
    <w:p w14:paraId="31C8BD4E" w14:textId="77777777" w:rsidR="00E401A4" w:rsidRDefault="00E401A4" w:rsidP="00F056D7">
      <w:pPr>
        <w:pStyle w:val="BodyText"/>
        <w:tabs>
          <w:tab w:val="left" w:pos="709"/>
        </w:tabs>
      </w:pPr>
      <w:r>
        <w:t xml:space="preserve">GA </w:t>
      </w:r>
      <w:r>
        <w:tab/>
      </w:r>
      <w:r>
        <w:tab/>
      </w:r>
      <w:r>
        <w:tab/>
        <w:t>Geosciences Australia</w:t>
      </w:r>
    </w:p>
    <w:p w14:paraId="31C8BD4F" w14:textId="77777777" w:rsidR="001444D4" w:rsidRDefault="001444D4" w:rsidP="00F056D7">
      <w:pPr>
        <w:pStyle w:val="BodyText"/>
        <w:tabs>
          <w:tab w:val="left" w:pos="709"/>
        </w:tabs>
      </w:pPr>
      <w:r>
        <w:t>GDE</w:t>
      </w:r>
      <w:r w:rsidR="00F056D7">
        <w:tab/>
      </w:r>
      <w:r w:rsidR="004B7CBD">
        <w:tab/>
      </w:r>
      <w:r w:rsidR="004B7CBD">
        <w:tab/>
      </w:r>
      <w:r w:rsidR="00D803E2">
        <w:t>Groundwater</w:t>
      </w:r>
      <w:r w:rsidR="00AF15AF">
        <w:t>-D</w:t>
      </w:r>
      <w:r w:rsidR="00351AA3">
        <w:t>ependent</w:t>
      </w:r>
      <w:r>
        <w:t xml:space="preserve"> </w:t>
      </w:r>
      <w:r w:rsidR="00AF15AF">
        <w:t>E</w:t>
      </w:r>
      <w:r>
        <w:t>cosystem</w:t>
      </w:r>
    </w:p>
    <w:p w14:paraId="31C8BD50" w14:textId="77777777" w:rsidR="00C96307" w:rsidRDefault="00C96307" w:rsidP="00F056D7">
      <w:pPr>
        <w:pStyle w:val="BodyText"/>
        <w:tabs>
          <w:tab w:val="left" w:pos="709"/>
        </w:tabs>
      </w:pPr>
      <w:r>
        <w:t>IDE</w:t>
      </w:r>
      <w:r>
        <w:tab/>
      </w:r>
      <w:r>
        <w:tab/>
      </w:r>
      <w:r>
        <w:tab/>
        <w:t>Inflow</w:t>
      </w:r>
      <w:r w:rsidR="00AF15AF">
        <w:t>-</w:t>
      </w:r>
      <w:r>
        <w:t>Dependent Ecosystem</w:t>
      </w:r>
    </w:p>
    <w:p w14:paraId="31C8BD51" w14:textId="77777777" w:rsidR="00B03FC0" w:rsidRDefault="00B03FC0" w:rsidP="00F056D7">
      <w:pPr>
        <w:pStyle w:val="BodyText"/>
        <w:tabs>
          <w:tab w:val="left" w:pos="709"/>
        </w:tabs>
      </w:pPr>
      <w:r>
        <w:t xml:space="preserve">IUCN </w:t>
      </w:r>
      <w:r>
        <w:tab/>
      </w:r>
      <w:r>
        <w:tab/>
      </w:r>
      <w:r>
        <w:tab/>
        <w:t>International Union for Conservation of Nature</w:t>
      </w:r>
    </w:p>
    <w:p w14:paraId="31C8BD52" w14:textId="77777777" w:rsidR="00A01559" w:rsidRDefault="00A01559" w:rsidP="004B7CBD">
      <w:pPr>
        <w:pStyle w:val="BodyText"/>
        <w:tabs>
          <w:tab w:val="left" w:pos="709"/>
        </w:tabs>
        <w:ind w:left="1440" w:hanging="1440"/>
      </w:pPr>
      <w:r w:rsidRPr="00A01559">
        <w:t>IESC</w:t>
      </w:r>
      <w:r w:rsidR="00F056D7">
        <w:tab/>
      </w:r>
      <w:r w:rsidR="004B7CBD">
        <w:tab/>
      </w:r>
      <w:r>
        <w:t xml:space="preserve">Independent Expert Scientific Committee on Coal Seam Gas and Large Coal Mining Development </w:t>
      </w:r>
    </w:p>
    <w:p w14:paraId="31C8BD53" w14:textId="77777777" w:rsidR="001D19B5" w:rsidRDefault="001D19B5" w:rsidP="00F056D7">
      <w:pPr>
        <w:pStyle w:val="BodyText"/>
        <w:tabs>
          <w:tab w:val="left" w:pos="709"/>
        </w:tabs>
      </w:pPr>
      <w:r>
        <w:t>LCM</w:t>
      </w:r>
      <w:r w:rsidR="00F056D7">
        <w:tab/>
      </w:r>
      <w:r w:rsidR="004B7CBD">
        <w:tab/>
      </w:r>
      <w:r w:rsidR="004B7CBD">
        <w:tab/>
      </w:r>
      <w:r w:rsidR="00F056D7">
        <w:t>L</w:t>
      </w:r>
      <w:r>
        <w:t>arge coal mining</w:t>
      </w:r>
    </w:p>
    <w:p w14:paraId="31C8BD54" w14:textId="77777777" w:rsidR="0042326D" w:rsidRDefault="0042326D" w:rsidP="00F056D7">
      <w:pPr>
        <w:pStyle w:val="BodyText"/>
        <w:tabs>
          <w:tab w:val="left" w:pos="709"/>
        </w:tabs>
      </w:pPr>
      <w:r>
        <w:t>MODIS</w:t>
      </w:r>
      <w:r>
        <w:tab/>
      </w:r>
      <w:r w:rsidR="004B7CBD">
        <w:tab/>
      </w:r>
      <w:r w:rsidR="004B7CBD">
        <w:tab/>
      </w:r>
      <w:r>
        <w:t xml:space="preserve">Moderate Resolution Imaging </w:t>
      </w:r>
      <w:proofErr w:type="spellStart"/>
      <w:r>
        <w:t>Spectroradiometer</w:t>
      </w:r>
      <w:proofErr w:type="spellEnd"/>
    </w:p>
    <w:p w14:paraId="31C8BD55" w14:textId="77777777" w:rsidR="005C38DF" w:rsidRDefault="005C38DF" w:rsidP="00F056D7">
      <w:pPr>
        <w:pStyle w:val="BodyText"/>
        <w:tabs>
          <w:tab w:val="left" w:pos="709"/>
        </w:tabs>
      </w:pPr>
      <w:r>
        <w:t>NASA</w:t>
      </w:r>
      <w:r>
        <w:tab/>
      </w:r>
      <w:r>
        <w:tab/>
      </w:r>
      <w:r>
        <w:tab/>
        <w:t>National Aeronautics and Space Administration</w:t>
      </w:r>
    </w:p>
    <w:p w14:paraId="31C8BD56" w14:textId="77777777" w:rsidR="006D1D1E" w:rsidRDefault="006D1D1E" w:rsidP="00F056D7">
      <w:pPr>
        <w:pStyle w:val="BodyText"/>
        <w:tabs>
          <w:tab w:val="left" w:pos="709"/>
        </w:tabs>
        <w:rPr>
          <w:noProof/>
        </w:rPr>
      </w:pPr>
      <w:r>
        <w:t>NDVI</w:t>
      </w:r>
      <w:r>
        <w:tab/>
      </w:r>
      <w:r w:rsidR="004B7CBD">
        <w:tab/>
      </w:r>
      <w:r w:rsidR="004B7CBD">
        <w:tab/>
      </w:r>
      <w:r w:rsidRPr="006D1D1E">
        <w:rPr>
          <w:noProof/>
        </w:rPr>
        <w:t>Normalised Difference Vegetation Index</w:t>
      </w:r>
    </w:p>
    <w:p w14:paraId="31C8BD57" w14:textId="77777777" w:rsidR="006D1D1E" w:rsidRDefault="006D1D1E" w:rsidP="00F056D7">
      <w:pPr>
        <w:pStyle w:val="BodyText"/>
        <w:tabs>
          <w:tab w:val="left" w:pos="709"/>
        </w:tabs>
      </w:pPr>
      <w:r>
        <w:rPr>
          <w:noProof/>
        </w:rPr>
        <w:t>NDWI</w:t>
      </w:r>
      <w:r>
        <w:rPr>
          <w:noProof/>
        </w:rPr>
        <w:tab/>
      </w:r>
      <w:r w:rsidR="004B7CBD">
        <w:rPr>
          <w:noProof/>
        </w:rPr>
        <w:tab/>
      </w:r>
      <w:r w:rsidR="004B7CBD">
        <w:rPr>
          <w:noProof/>
        </w:rPr>
        <w:tab/>
      </w:r>
      <w:r w:rsidRPr="006D1D1E">
        <w:rPr>
          <w:noProof/>
        </w:rPr>
        <w:t xml:space="preserve">Normalised Difference </w:t>
      </w:r>
      <w:r>
        <w:rPr>
          <w:noProof/>
        </w:rPr>
        <w:t>Wetness</w:t>
      </w:r>
      <w:r w:rsidRPr="006D1D1E">
        <w:rPr>
          <w:noProof/>
        </w:rPr>
        <w:t xml:space="preserve"> Index</w:t>
      </w:r>
    </w:p>
    <w:p w14:paraId="31C8BD58" w14:textId="77777777" w:rsidR="00527AEE" w:rsidRDefault="00527AEE" w:rsidP="00527AEE">
      <w:pPr>
        <w:pStyle w:val="BodyText"/>
        <w:tabs>
          <w:tab w:val="left" w:pos="709"/>
        </w:tabs>
      </w:pPr>
      <w:r>
        <w:t>NVIS</w:t>
      </w:r>
      <w:r>
        <w:tab/>
      </w:r>
      <w:r>
        <w:tab/>
      </w:r>
      <w:r>
        <w:tab/>
        <w:t>Native Vegetation Information System</w:t>
      </w:r>
    </w:p>
    <w:p w14:paraId="31C8BD59" w14:textId="77777777" w:rsidR="000A03C5" w:rsidRDefault="000A03C5" w:rsidP="00F056D7">
      <w:pPr>
        <w:pStyle w:val="BodyText"/>
        <w:tabs>
          <w:tab w:val="left" w:pos="709"/>
        </w:tabs>
      </w:pPr>
      <w:r>
        <w:t>NWI</w:t>
      </w:r>
      <w:r>
        <w:tab/>
      </w:r>
      <w:r w:rsidR="004B7CBD">
        <w:tab/>
      </w:r>
      <w:r w:rsidR="004B7CBD">
        <w:tab/>
      </w:r>
      <w:r>
        <w:t>National Water Initiative</w:t>
      </w:r>
    </w:p>
    <w:p w14:paraId="31C8BD5A" w14:textId="77777777" w:rsidR="00527AEE" w:rsidRDefault="00527AEE" w:rsidP="00527AEE">
      <w:pPr>
        <w:pStyle w:val="BodyText"/>
        <w:tabs>
          <w:tab w:val="left" w:pos="709"/>
        </w:tabs>
      </w:pPr>
      <w:r>
        <w:t>Project area</w:t>
      </w:r>
      <w:r>
        <w:tab/>
        <w:t>Likely area of impact from CSG or LCM activity, plus a buffer zone</w:t>
      </w:r>
    </w:p>
    <w:p w14:paraId="31C8BD5B" w14:textId="77777777" w:rsidR="005C38DF" w:rsidRDefault="005C38DF" w:rsidP="00F056D7">
      <w:pPr>
        <w:pStyle w:val="BodyText"/>
        <w:tabs>
          <w:tab w:val="left" w:pos="709"/>
        </w:tabs>
      </w:pPr>
      <w:r>
        <w:t>TEC</w:t>
      </w:r>
      <w:r>
        <w:tab/>
      </w:r>
      <w:r>
        <w:tab/>
      </w:r>
      <w:r>
        <w:tab/>
        <w:t>Threatened Ecological Community</w:t>
      </w:r>
    </w:p>
    <w:p w14:paraId="31C8BD5C" w14:textId="77777777" w:rsidR="003B3605" w:rsidRDefault="003B3605">
      <w:pPr>
        <w:spacing w:after="0"/>
      </w:pPr>
      <w:r>
        <w:br w:type="page"/>
      </w:r>
    </w:p>
    <w:p w14:paraId="31C8BD5D" w14:textId="77777777" w:rsidR="000C6EC2" w:rsidRDefault="000C6EC2" w:rsidP="00F3119C">
      <w:pPr>
        <w:pStyle w:val="Heading1"/>
        <w:pageBreakBefore w:val="0"/>
        <w:tabs>
          <w:tab w:val="clear" w:pos="1134"/>
          <w:tab w:val="left" w:pos="567"/>
        </w:tabs>
        <w:spacing w:before="480" w:after="360" w:line="240" w:lineRule="auto"/>
        <w:ind w:left="1134" w:hanging="1134"/>
      </w:pPr>
      <w:bookmarkStart w:id="89" w:name="_Toc509996502"/>
      <w:r>
        <w:lastRenderedPageBreak/>
        <w:t>Glossary</w:t>
      </w:r>
      <w:bookmarkEnd w:id="89"/>
    </w:p>
    <w:p w14:paraId="31C8BD5E" w14:textId="77777777" w:rsidR="000C6EC2" w:rsidRDefault="000C6EC2" w:rsidP="000C6EC2">
      <w:pPr>
        <w:pStyle w:val="BodyText"/>
      </w:pPr>
      <w:r w:rsidRPr="000C6EC2">
        <w:rPr>
          <w:b/>
        </w:rPr>
        <w:t>Bioregional assessment</w:t>
      </w:r>
      <w:r>
        <w:t xml:space="preserve"> is a scientific analysis of the ecology, hydrology, geology and hydrogeology of a bioregion, with explicit assessment of the potential direct, indirect and cumulative impacts of CSG </w:t>
      </w:r>
      <w:r w:rsidR="00AF15AF">
        <w:t xml:space="preserve">extraction </w:t>
      </w:r>
      <w:r>
        <w:t>and coal mining development on water resources. The central purpose of bioregional assessments is to inform the understanding of impacts on and risks to water-dependent assets that arise in response to current and future pathways of coal seam gas and large coal mining development.</w:t>
      </w:r>
    </w:p>
    <w:p w14:paraId="31C8BD5F" w14:textId="77777777" w:rsidR="000C6EC2" w:rsidRDefault="000C6EC2" w:rsidP="000C6EC2">
      <w:pPr>
        <w:pStyle w:val="BodyText"/>
      </w:pPr>
      <w:r w:rsidRPr="000C6EC2">
        <w:rPr>
          <w:b/>
        </w:rPr>
        <w:t>Coal seam gas development</w:t>
      </w:r>
      <w:r>
        <w:t xml:space="preserve"> is defined under the EPBC Act as any activity involving CSG extraction that has, or is likely to have, a significant impact on water resources (including any impacts of associated salt production and/or salinity), either in its own right or when considered with other developments, whether past, present or reasonably foreseeable.</w:t>
      </w:r>
    </w:p>
    <w:p w14:paraId="31C8BD60" w14:textId="77777777" w:rsidR="000C6EC2" w:rsidRDefault="000C6EC2" w:rsidP="000C6EC2">
      <w:pPr>
        <w:pStyle w:val="BodyText"/>
      </w:pPr>
      <w:r w:rsidRPr="000C6EC2">
        <w:rPr>
          <w:b/>
        </w:rPr>
        <w:t>Conceptual model</w:t>
      </w:r>
      <w:r>
        <w:t xml:space="preserve"> is a descriptive and/or schematic hydrological, hydrogeological and ecological representation of the site showing the stores, flows and uses of water, which illustrates the geological formations, water resources and water-dependent assets, and provides the basis for developing water and salt balances and inferring water-related ecological responses to changes in hydrology, hydrogeology and water quality.</w:t>
      </w:r>
    </w:p>
    <w:p w14:paraId="31C8BD61" w14:textId="77777777" w:rsidR="000C6EC2" w:rsidRDefault="000C6EC2" w:rsidP="000C6EC2">
      <w:pPr>
        <w:pStyle w:val="BodyText"/>
      </w:pPr>
      <w:r w:rsidRPr="000C6EC2">
        <w:rPr>
          <w:b/>
        </w:rPr>
        <w:t>Cumulative impact</w:t>
      </w:r>
      <w:r>
        <w:t xml:space="preserve"> is defined as the total impact of a CSG and/or large coal mining development on water resources when all past, present and/or reasonably foreseeable actions that are likely to impact on water resources are considered. </w:t>
      </w:r>
    </w:p>
    <w:p w14:paraId="31C8BD62" w14:textId="77777777" w:rsidR="000C6EC2" w:rsidRDefault="000C6EC2" w:rsidP="000C6EC2">
      <w:pPr>
        <w:pStyle w:val="BodyText"/>
      </w:pPr>
      <w:r w:rsidRPr="000C6EC2">
        <w:rPr>
          <w:b/>
        </w:rPr>
        <w:t>Ecological processes</w:t>
      </w:r>
      <w:r>
        <w:t xml:space="preserve"> are part of the components that contribute to the physical state and environmental value of a water resource and can include processes such as nutrient cycling, eutrophication and carbon metabolism.</w:t>
      </w:r>
    </w:p>
    <w:p w14:paraId="31C8BD63" w14:textId="77777777" w:rsidR="000342B1" w:rsidRDefault="000342B1" w:rsidP="000C6EC2">
      <w:pPr>
        <w:pStyle w:val="BodyText"/>
      </w:pPr>
      <w:r w:rsidRPr="00683885">
        <w:rPr>
          <w:b/>
        </w:rPr>
        <w:t>Facul</w:t>
      </w:r>
      <w:r w:rsidR="00683885" w:rsidRPr="00683885">
        <w:rPr>
          <w:b/>
        </w:rPr>
        <w:t>t</w:t>
      </w:r>
      <w:r w:rsidRPr="00683885">
        <w:rPr>
          <w:b/>
        </w:rPr>
        <w:t>ative GDE</w:t>
      </w:r>
      <w:r w:rsidR="00683885" w:rsidRPr="00683885">
        <w:t xml:space="preserve"> </w:t>
      </w:r>
      <w:r w:rsidR="007A54E1">
        <w:t>are deep-</w:t>
      </w:r>
      <w:r w:rsidR="00683885" w:rsidRPr="000342B1">
        <w:t>rooted plant species that tap into groundwater, via the capillary fringe, to satisfy at least some portion of their environmental water requirement, but will also inhabit areas where their water requirements can be met by soil moisture reserves alone. That is, the species will be groundwater</w:t>
      </w:r>
      <w:r w:rsidR="00683885">
        <w:t>-</w:t>
      </w:r>
      <w:r w:rsidR="00683885" w:rsidRPr="000342B1">
        <w:t>dependent in some environments, but not in others.</w:t>
      </w:r>
    </w:p>
    <w:p w14:paraId="31C8BD64" w14:textId="77777777" w:rsidR="000F3E4E" w:rsidRDefault="000F3E4E" w:rsidP="000C6EC2">
      <w:pPr>
        <w:pStyle w:val="BodyText"/>
      </w:pPr>
      <w:r w:rsidRPr="000F3E4E">
        <w:rPr>
          <w:b/>
        </w:rPr>
        <w:t>Groundwater</w:t>
      </w:r>
      <w:r w:rsidR="00AF15AF">
        <w:rPr>
          <w:b/>
        </w:rPr>
        <w:t>-</w:t>
      </w:r>
      <w:r w:rsidRPr="000F3E4E">
        <w:rPr>
          <w:b/>
        </w:rPr>
        <w:t>dependent ecosystems</w:t>
      </w:r>
      <w:r>
        <w:t xml:space="preserve"> (GDEs) are ecosystems that require access to groundwater on a permanent or intermittent bas</w:t>
      </w:r>
      <w:r w:rsidR="00AF15AF">
        <w:t>i</w:t>
      </w:r>
      <w:r>
        <w:t xml:space="preserve">s to meet all or some of their water requirements so as to maintain their communities of plants and animals, ecological processes and ecosystem services. GDEs include terrestrial vegetation, wetlands (swamps, lakes and rivers) and ecosystems in aquifers and caves. </w:t>
      </w:r>
    </w:p>
    <w:p w14:paraId="31C8BD65" w14:textId="77777777" w:rsidR="00B6484F" w:rsidRDefault="005943E0" w:rsidP="00B6484F">
      <w:pPr>
        <w:pStyle w:val="BodyText"/>
        <w:rPr>
          <w:rFonts w:eastAsiaTheme="minorHAnsi"/>
        </w:rPr>
      </w:pPr>
      <w:r w:rsidRPr="00B6484F">
        <w:rPr>
          <w:b/>
        </w:rPr>
        <w:t>Groundwater regime</w:t>
      </w:r>
      <w:r w:rsidR="00B6484F">
        <w:t xml:space="preserve"> is the prevailing pattern of groundwater movement through an aquifer over time. The regime considers the magnitude, duration, and frequency of water level fluctuations, as well as the direction of water movement through the three-dimensional space of an aquifer. Input to the aquifer, changes to aquifer hydraulic conductivity, and water lost from the aquifer also need to be included. </w:t>
      </w:r>
    </w:p>
    <w:p w14:paraId="31C8BD66" w14:textId="77777777" w:rsidR="005943E0" w:rsidRPr="00482486" w:rsidRDefault="005943E0" w:rsidP="000C6EC2">
      <w:pPr>
        <w:pStyle w:val="BodyText"/>
      </w:pPr>
      <w:proofErr w:type="spellStart"/>
      <w:r w:rsidRPr="002C7AE1">
        <w:rPr>
          <w:b/>
        </w:rPr>
        <w:t>Hyporheic</w:t>
      </w:r>
      <w:proofErr w:type="spellEnd"/>
      <w:r w:rsidRPr="002C7AE1">
        <w:rPr>
          <w:b/>
        </w:rPr>
        <w:t xml:space="preserve"> </w:t>
      </w:r>
      <w:r w:rsidR="00482486" w:rsidRPr="002C7AE1">
        <w:rPr>
          <w:b/>
        </w:rPr>
        <w:t>z</w:t>
      </w:r>
      <w:r w:rsidRPr="002C7AE1">
        <w:rPr>
          <w:b/>
        </w:rPr>
        <w:t>one</w:t>
      </w:r>
      <w:r w:rsidR="00482486" w:rsidRPr="00482486">
        <w:t xml:space="preserve"> is </w:t>
      </w:r>
      <w:r w:rsidR="00482486">
        <w:t>the</w:t>
      </w:r>
      <w:r w:rsidR="00482486" w:rsidRPr="00482486">
        <w:t xml:space="preserve"> region beneath and alongside a stream</w:t>
      </w:r>
      <w:r w:rsidR="00482486">
        <w:t>/river/wetland</w:t>
      </w:r>
      <w:r w:rsidR="00482486" w:rsidRPr="00482486">
        <w:t xml:space="preserve"> bed, where there is mixing of shallow groundwater and surface water.</w:t>
      </w:r>
    </w:p>
    <w:p w14:paraId="31C8BD67" w14:textId="77777777" w:rsidR="000A5FFB" w:rsidRDefault="000A5FFB" w:rsidP="000A5FFB">
      <w:pPr>
        <w:pStyle w:val="BodyText"/>
      </w:pPr>
      <w:r w:rsidRPr="000A5FFB">
        <w:rPr>
          <w:b/>
        </w:rPr>
        <w:t>Inflow</w:t>
      </w:r>
      <w:r w:rsidR="00AF15AF">
        <w:rPr>
          <w:b/>
        </w:rPr>
        <w:t>-</w:t>
      </w:r>
      <w:r w:rsidRPr="000A5FFB">
        <w:rPr>
          <w:b/>
        </w:rPr>
        <w:t>Dependent Ecosystem</w:t>
      </w:r>
      <w:r>
        <w:t xml:space="preserve"> is a GDE Atlas term that describes ecosystems that are likely to be using another source of water in addition to rainfall. IDEs include groundwater</w:t>
      </w:r>
      <w:r w:rsidR="00AF15AF">
        <w:t>-</w:t>
      </w:r>
      <w:r>
        <w:t>dependent ecosystems as well as ecosystems which use sources of water other than rainfall (e.g. surface water, water stored in the unsaturated zone, irrigation).</w:t>
      </w:r>
    </w:p>
    <w:p w14:paraId="31C8BD68" w14:textId="77777777" w:rsidR="00683885" w:rsidRDefault="00683885" w:rsidP="000A5FFB">
      <w:pPr>
        <w:pStyle w:val="BodyText"/>
      </w:pPr>
      <w:r w:rsidRPr="00683885">
        <w:rPr>
          <w:b/>
        </w:rPr>
        <w:t>Known GDEs</w:t>
      </w:r>
      <w:r>
        <w:t xml:space="preserve"> are those GDEs which have previously been identified using field studies or desktop studies. They can be sought from reports and scientific publications.</w:t>
      </w:r>
    </w:p>
    <w:p w14:paraId="31C8BD69" w14:textId="77777777" w:rsidR="000F3E4E" w:rsidRDefault="000F3E4E" w:rsidP="000C6EC2">
      <w:pPr>
        <w:pStyle w:val="BodyText"/>
      </w:pPr>
      <w:r w:rsidRPr="000F3E4E">
        <w:rPr>
          <w:b/>
        </w:rPr>
        <w:t>Large coal mining development</w:t>
      </w:r>
      <w:r>
        <w:t xml:space="preserve"> is defined under the EPBC Act as any coal mining activity that has, or is likely to have, a significant impact on water resources (including any impacts of associated salt production and/or salinity), either in its own right or when considered with other developments, whether past, present or reasonably foreseeable. </w:t>
      </w:r>
    </w:p>
    <w:p w14:paraId="31C8BD6A" w14:textId="77777777" w:rsidR="00CD570D" w:rsidRDefault="000F3E4E" w:rsidP="000C6EC2">
      <w:pPr>
        <w:pStyle w:val="BodyText"/>
      </w:pPr>
      <w:r w:rsidRPr="000F3E4E">
        <w:rPr>
          <w:b/>
        </w:rPr>
        <w:lastRenderedPageBreak/>
        <w:t>Numerical models</w:t>
      </w:r>
      <w:r>
        <w:t xml:space="preserve"> divide space and/or time into discrete pieces. Features of the governing equations and boundary conditions (for example, aquifer geometry, hydrogeological properties, pumping rates or sources of solute) can be specified as varying over space and time. This enables more complex, and potentially more realistic, representation of a groundwater system than could be achieved with an analytical model. </w:t>
      </w:r>
    </w:p>
    <w:p w14:paraId="31C8BD6B" w14:textId="77777777" w:rsidR="000342B1" w:rsidRDefault="000342B1" w:rsidP="000C6EC2">
      <w:pPr>
        <w:pStyle w:val="BodyText"/>
      </w:pPr>
      <w:r w:rsidRPr="000342B1">
        <w:rPr>
          <w:b/>
        </w:rPr>
        <w:t>Obligate GDE</w:t>
      </w:r>
      <w:r>
        <w:t xml:space="preserve"> </w:t>
      </w:r>
      <w:r w:rsidR="007A54E1">
        <w:t>are organisms</w:t>
      </w:r>
      <w:r w:rsidRPr="000342B1">
        <w:t xml:space="preserve"> that only inhabit areas where they can access groundwater, via the capillary fringe, to satisfy at least some proportion of their environmental water requirement.</w:t>
      </w:r>
    </w:p>
    <w:p w14:paraId="31C8BD6C" w14:textId="77777777" w:rsidR="005943E0" w:rsidRDefault="005943E0" w:rsidP="000C6EC2">
      <w:pPr>
        <w:pStyle w:val="BodyText"/>
      </w:pPr>
      <w:r w:rsidRPr="00650FFE">
        <w:rPr>
          <w:b/>
        </w:rPr>
        <w:t>Piezometer</w:t>
      </w:r>
      <w:r w:rsidR="00F14BA0" w:rsidRPr="00650FFE">
        <w:rPr>
          <w:b/>
        </w:rPr>
        <w:t xml:space="preserve"> </w:t>
      </w:r>
      <w:r w:rsidR="00F14BA0" w:rsidRPr="00650FFE">
        <w:t>is a specially designed bore with a s</w:t>
      </w:r>
      <w:r w:rsidR="007A54E1">
        <w:t>hort intake screen to monitor</w:t>
      </w:r>
      <w:r w:rsidR="00F14BA0" w:rsidRPr="00650FFE">
        <w:t xml:space="preserve"> groundwater levels at a specific point in an aquifer.</w:t>
      </w:r>
      <w:r w:rsidR="00650FFE" w:rsidRPr="00650FFE">
        <w:t xml:space="preserve"> </w:t>
      </w:r>
    </w:p>
    <w:p w14:paraId="31C8BD6D" w14:textId="77777777" w:rsidR="00683885" w:rsidRPr="00683885" w:rsidRDefault="00683885" w:rsidP="00683885">
      <w:pPr>
        <w:pStyle w:val="BodyText"/>
      </w:pPr>
      <w:proofErr w:type="spellStart"/>
      <w:r w:rsidRPr="00683885">
        <w:rPr>
          <w:b/>
        </w:rPr>
        <w:t>Phreatophytes</w:t>
      </w:r>
      <w:proofErr w:type="spellEnd"/>
      <w:r>
        <w:t xml:space="preserve"> </w:t>
      </w:r>
      <w:r w:rsidR="007A54E1">
        <w:t xml:space="preserve">are deep-rooted plants that obtain a significant portion of their required water from the phreatic zone (zone of saturation) or the capillary fringe above the phreatic zone. </w:t>
      </w:r>
      <w:proofErr w:type="spellStart"/>
      <w:r w:rsidRPr="00683885">
        <w:t>Phreatophytes</w:t>
      </w:r>
      <w:proofErr w:type="spellEnd"/>
      <w:r w:rsidRPr="00683885">
        <w:t xml:space="preserve"> are plants that are supplied with surface water and often have their roots constantly in touch with moisture.</w:t>
      </w:r>
    </w:p>
    <w:p w14:paraId="31C8BD6E" w14:textId="77777777" w:rsidR="005943E0" w:rsidRDefault="005943E0" w:rsidP="000C6EC2">
      <w:pPr>
        <w:pStyle w:val="BodyText"/>
      </w:pPr>
      <w:r w:rsidRPr="00482486">
        <w:rPr>
          <w:b/>
        </w:rPr>
        <w:t>Riparian</w:t>
      </w:r>
      <w:r w:rsidR="00650FFE" w:rsidRPr="00482486">
        <w:rPr>
          <w:b/>
        </w:rPr>
        <w:t xml:space="preserve"> vegetation</w:t>
      </w:r>
      <w:r w:rsidR="00650FFE">
        <w:t xml:space="preserve"> is vegetation that is adjacent or situated on the banks of a river or wetland.</w:t>
      </w:r>
      <w:r w:rsidR="007A54E1">
        <w:t xml:space="preserve"> </w:t>
      </w:r>
    </w:p>
    <w:p w14:paraId="31C8BD6F" w14:textId="77777777" w:rsidR="000F3E4E" w:rsidRDefault="000F3E4E" w:rsidP="000C6EC2">
      <w:pPr>
        <w:pStyle w:val="BodyText"/>
      </w:pPr>
      <w:r w:rsidRPr="002E0FFA">
        <w:rPr>
          <w:b/>
        </w:rPr>
        <w:t>Significant impact</w:t>
      </w:r>
      <w:r>
        <w:t xml:space="preserve"> is defined by the </w:t>
      </w:r>
      <w:r w:rsidRPr="002E0FFA">
        <w:t>Significant Impact Guidelines</w:t>
      </w:r>
      <w:r>
        <w:t xml:space="preserve"> (</w:t>
      </w:r>
      <w:r w:rsidR="0002482A">
        <w:t xml:space="preserve">DoE </w:t>
      </w:r>
      <w:r>
        <w:t xml:space="preserve">2013) as an impact which is important, notable or of consequence, having regard to its context or intensity. Whether or not an action is likely to have a significant impact depends upon the sensitivity, value and quality of the water resource which is impacted, and upon the intensity, duration, magnitude and geographic extent of the impacts. </w:t>
      </w:r>
    </w:p>
    <w:p w14:paraId="31C8BD70" w14:textId="77777777" w:rsidR="000F3E4E" w:rsidRPr="000C6EC2" w:rsidRDefault="000F3E4E" w:rsidP="000C6EC2">
      <w:pPr>
        <w:pStyle w:val="BodyText"/>
      </w:pPr>
      <w:r w:rsidRPr="000F3E4E">
        <w:rPr>
          <w:b/>
        </w:rPr>
        <w:t>Water balance</w:t>
      </w:r>
      <w:r>
        <w:t xml:space="preserve"> is a mathematical expression of water flows and exchanges, described as inputs, outputs and changes in storage. Surface water, groundwater and atmospheric components should be included.</w:t>
      </w:r>
    </w:p>
    <w:p w14:paraId="31C8BD71" w14:textId="77777777" w:rsidR="00495A4C" w:rsidRDefault="00495A4C" w:rsidP="00495A4C">
      <w:pPr>
        <w:autoSpaceDE w:val="0"/>
        <w:autoSpaceDN w:val="0"/>
        <w:adjustRightInd w:val="0"/>
        <w:spacing w:after="0"/>
      </w:pPr>
    </w:p>
    <w:p w14:paraId="31C8BD72" w14:textId="77777777" w:rsidR="00495A4C" w:rsidRDefault="00495A4C" w:rsidP="00495A4C">
      <w:pPr>
        <w:autoSpaceDE w:val="0"/>
        <w:autoSpaceDN w:val="0"/>
        <w:adjustRightInd w:val="0"/>
        <w:spacing w:after="0"/>
      </w:pPr>
    </w:p>
    <w:p w14:paraId="31C8BD73" w14:textId="77777777" w:rsidR="00495A4C" w:rsidRDefault="00495A4C" w:rsidP="00AD7B85">
      <w:pPr>
        <w:pStyle w:val="Reference"/>
      </w:pPr>
    </w:p>
    <w:p w14:paraId="31C8BD74" w14:textId="77777777" w:rsidR="00495A4C" w:rsidRDefault="00495A4C" w:rsidP="00AD7B85">
      <w:pPr>
        <w:pStyle w:val="Reference"/>
      </w:pPr>
    </w:p>
    <w:p w14:paraId="31C8BD75" w14:textId="77777777" w:rsidR="00495A4C" w:rsidRDefault="00495A4C" w:rsidP="00AD7B85">
      <w:pPr>
        <w:pStyle w:val="Reference"/>
      </w:pPr>
    </w:p>
    <w:p w14:paraId="31C8BD76" w14:textId="77777777" w:rsidR="00495A4C" w:rsidRDefault="00495A4C" w:rsidP="00AD7B85">
      <w:pPr>
        <w:pStyle w:val="Reference"/>
      </w:pPr>
    </w:p>
    <w:p w14:paraId="31C8BD77" w14:textId="77777777" w:rsidR="00495A4C" w:rsidRDefault="00495A4C" w:rsidP="00AD7B85">
      <w:pPr>
        <w:pStyle w:val="Reference"/>
      </w:pPr>
    </w:p>
    <w:p w14:paraId="31C8BD78" w14:textId="77777777" w:rsidR="00495A4C" w:rsidRDefault="00495A4C" w:rsidP="00AD7B85">
      <w:pPr>
        <w:pStyle w:val="Reference"/>
      </w:pPr>
    </w:p>
    <w:p w14:paraId="31C8BD79" w14:textId="77777777" w:rsidR="00BE6920" w:rsidRDefault="00BE6920" w:rsidP="00AD7B85">
      <w:pPr>
        <w:pStyle w:val="Reference"/>
        <w:rPr>
          <w:rFonts w:eastAsiaTheme="majorEastAsia" w:cstheme="majorBidi"/>
          <w:b/>
          <w:bCs/>
          <w:color w:val="00313C" w:themeColor="accent2"/>
          <w:sz w:val="44"/>
          <w:szCs w:val="28"/>
        </w:rPr>
      </w:pPr>
      <w:r>
        <w:br w:type="page"/>
      </w:r>
    </w:p>
    <w:p w14:paraId="31C8BD7A" w14:textId="77777777" w:rsidR="006137A9" w:rsidRDefault="007A727E" w:rsidP="00F3119C">
      <w:pPr>
        <w:pStyle w:val="Heading1"/>
        <w:pageBreakBefore w:val="0"/>
        <w:tabs>
          <w:tab w:val="clear" w:pos="1134"/>
          <w:tab w:val="left" w:pos="567"/>
        </w:tabs>
        <w:spacing w:before="480" w:after="360" w:line="240" w:lineRule="auto"/>
        <w:ind w:left="1134" w:hanging="1134"/>
      </w:pPr>
      <w:bookmarkStart w:id="90" w:name="_Toc504056328"/>
      <w:bookmarkStart w:id="91" w:name="_Toc509996503"/>
      <w:bookmarkEnd w:id="76"/>
      <w:r>
        <w:lastRenderedPageBreak/>
        <w:t>References</w:t>
      </w:r>
      <w:bookmarkEnd w:id="90"/>
      <w:bookmarkEnd w:id="91"/>
    </w:p>
    <w:p w14:paraId="31C8BD7B" w14:textId="77777777" w:rsidR="004066E4" w:rsidRDefault="004066E4" w:rsidP="004066E4">
      <w:pPr>
        <w:pStyle w:val="Reference"/>
        <w:rPr>
          <w:noProof/>
        </w:rPr>
      </w:pPr>
      <w:r>
        <w:rPr>
          <w:noProof/>
        </w:rPr>
        <w:t xml:space="preserve">Armandine Les Landes A, Aquilina L, De Ridder J, Longuevergne L, Pagé C, Goderniaux P. 2014. Investigating the respective impacts of groundwater exploitation and climate change on wetland extension over 150 years. </w:t>
      </w:r>
      <w:r w:rsidRPr="004575C3">
        <w:rPr>
          <w:i/>
          <w:noProof/>
        </w:rPr>
        <w:t>Journal of Hydrology</w:t>
      </w:r>
      <w:r>
        <w:rPr>
          <w:noProof/>
        </w:rPr>
        <w:t xml:space="preserve">, </w:t>
      </w:r>
      <w:r w:rsidRPr="004575C3">
        <w:rPr>
          <w:b/>
          <w:noProof/>
        </w:rPr>
        <w:t>509</w:t>
      </w:r>
      <w:r>
        <w:rPr>
          <w:noProof/>
        </w:rPr>
        <w:t>: 367-378.</w:t>
      </w:r>
      <w:r w:rsidRPr="00D668BF">
        <w:rPr>
          <w:noProof/>
        </w:rPr>
        <w:t xml:space="preserve"> </w:t>
      </w:r>
    </w:p>
    <w:p w14:paraId="31C8BD7C" w14:textId="77777777" w:rsidR="00D668BF" w:rsidRDefault="00D668BF" w:rsidP="004066E4">
      <w:pPr>
        <w:pStyle w:val="Reference"/>
        <w:rPr>
          <w:noProof/>
        </w:rPr>
      </w:pPr>
      <w:r w:rsidRPr="00D668BF">
        <w:rPr>
          <w:noProof/>
        </w:rPr>
        <w:t>Barron OV, Emelyanova I, Van Niel TG, Pollock D, Hodgson G. 2012. Mapping grou</w:t>
      </w:r>
      <w:r w:rsidR="00DE47A0">
        <w:rPr>
          <w:noProof/>
        </w:rPr>
        <w:t>n</w:t>
      </w:r>
      <w:r w:rsidRPr="00D668BF">
        <w:rPr>
          <w:noProof/>
        </w:rPr>
        <w:t xml:space="preserve">dwater-dependent ecosystems using remote sensing measures of vegetation and moisture dynamics. </w:t>
      </w:r>
      <w:r w:rsidRPr="00104CE1">
        <w:rPr>
          <w:i/>
          <w:noProof/>
        </w:rPr>
        <w:t>Hydrological Processes</w:t>
      </w:r>
      <w:r w:rsidRPr="00D668BF">
        <w:rPr>
          <w:noProof/>
        </w:rPr>
        <w:t xml:space="preserve">, </w:t>
      </w:r>
      <w:r w:rsidR="00104CE1">
        <w:rPr>
          <w:b/>
          <w:noProof/>
        </w:rPr>
        <w:t>28(2),</w:t>
      </w:r>
      <w:r w:rsidRPr="00D668BF">
        <w:rPr>
          <w:noProof/>
        </w:rPr>
        <w:t xml:space="preserve"> 372-385</w:t>
      </w:r>
      <w:r w:rsidR="0033405C">
        <w:rPr>
          <w:noProof/>
        </w:rPr>
        <w:t>.</w:t>
      </w:r>
    </w:p>
    <w:p w14:paraId="31C8BD7D" w14:textId="77777777" w:rsidR="00AD7B85" w:rsidRDefault="00AD7B85" w:rsidP="00AD7B85">
      <w:pPr>
        <w:pStyle w:val="Reference"/>
      </w:pPr>
      <w:proofErr w:type="spellStart"/>
      <w:r>
        <w:t>Bennelongia</w:t>
      </w:r>
      <w:proofErr w:type="spellEnd"/>
      <w:r>
        <w:t xml:space="preserve">. 2015. Strategic environmental assessment: Description of regional subterranean fauna. Prepared for BHP Billiton Iron Ore. Final Report, September 2015. </w:t>
      </w:r>
      <w:hyperlink r:id="rId89" w:history="1">
        <w:r>
          <w:rPr>
            <w:rStyle w:val="Hyperlink"/>
          </w:rPr>
          <w:t>Report Link</w:t>
        </w:r>
      </w:hyperlink>
      <w:r>
        <w:t>.</w:t>
      </w:r>
    </w:p>
    <w:p w14:paraId="31C8BD7E" w14:textId="77777777" w:rsidR="0033405C" w:rsidRPr="0033405C" w:rsidRDefault="0033405C" w:rsidP="0033405C">
      <w:pPr>
        <w:pStyle w:val="Reference"/>
      </w:pPr>
      <w:proofErr w:type="spellStart"/>
      <w:r>
        <w:t>Boulton</w:t>
      </w:r>
      <w:proofErr w:type="spellEnd"/>
      <w:r>
        <w:t xml:space="preserve"> AJ, Hancock PJ. 2006. Rivers as </w:t>
      </w:r>
      <w:r w:rsidR="004F60BB">
        <w:t>groundwater-dependent</w:t>
      </w:r>
      <w:r>
        <w:t xml:space="preserve"> ecosystems: a review of degrees of dependency, </w:t>
      </w:r>
      <w:proofErr w:type="spellStart"/>
      <w:r>
        <w:t>rivering</w:t>
      </w:r>
      <w:proofErr w:type="spellEnd"/>
      <w:r>
        <w:t xml:space="preserve"> processes and management implications. </w:t>
      </w:r>
      <w:r w:rsidRPr="0033405C">
        <w:rPr>
          <w:i/>
        </w:rPr>
        <w:t>Journal of Botany</w:t>
      </w:r>
      <w:r>
        <w:t xml:space="preserve">, </w:t>
      </w:r>
      <w:r w:rsidRPr="0033405C">
        <w:rPr>
          <w:b/>
        </w:rPr>
        <w:t>54</w:t>
      </w:r>
      <w:r>
        <w:t>, 133-144.</w:t>
      </w:r>
    </w:p>
    <w:p w14:paraId="31C8BD7F" w14:textId="77777777" w:rsidR="00102EC7" w:rsidRPr="00873B87" w:rsidRDefault="00102EC7" w:rsidP="00102EC7">
      <w:pPr>
        <w:pStyle w:val="Reference"/>
      </w:pPr>
      <w:r w:rsidRPr="00873B87">
        <w:rPr>
          <w:rStyle w:val="normaltextrun"/>
        </w:rPr>
        <w:t>Bowell RJ. 2002. The </w:t>
      </w:r>
      <w:proofErr w:type="spellStart"/>
      <w:r w:rsidRPr="00873B87">
        <w:rPr>
          <w:rStyle w:val="spellingerror"/>
        </w:rPr>
        <w:t>hydrogeochemical</w:t>
      </w:r>
      <w:proofErr w:type="spellEnd"/>
      <w:r w:rsidRPr="00873B87">
        <w:rPr>
          <w:rStyle w:val="normaltextrun"/>
        </w:rPr>
        <w:t> dynamics of mine pit lakes. In P.L. Younger and N.S. Robins (</w:t>
      </w:r>
      <w:proofErr w:type="spellStart"/>
      <w:proofErr w:type="gramStart"/>
      <w:r w:rsidRPr="00873B87">
        <w:rPr>
          <w:rStyle w:val="spellingerror"/>
        </w:rPr>
        <w:t>eds</w:t>
      </w:r>
      <w:proofErr w:type="spellEnd"/>
      <w:proofErr w:type="gramEnd"/>
      <w:r w:rsidRPr="00873B87">
        <w:rPr>
          <w:rStyle w:val="normaltextrun"/>
        </w:rPr>
        <w:t xml:space="preserve">) Mine Water Hydrogeology and Geochemistry. Geological Society of London, </w:t>
      </w:r>
      <w:r w:rsidR="00104CE1" w:rsidRPr="00104CE1">
        <w:rPr>
          <w:rStyle w:val="normaltextrun"/>
          <w:b/>
        </w:rPr>
        <w:t>198</w:t>
      </w:r>
      <w:r w:rsidR="00104CE1">
        <w:rPr>
          <w:rStyle w:val="normaltextrun"/>
        </w:rPr>
        <w:t>, 159-185.</w:t>
      </w:r>
      <w:r w:rsidRPr="00873B87">
        <w:rPr>
          <w:rStyle w:val="normaltextrun"/>
        </w:rPr>
        <w:t> </w:t>
      </w:r>
      <w:r w:rsidRPr="00873B87">
        <w:rPr>
          <w:rStyle w:val="eop"/>
        </w:rPr>
        <w:t> </w:t>
      </w:r>
    </w:p>
    <w:p w14:paraId="31C8BD80" w14:textId="77777777" w:rsidR="00873B87" w:rsidRDefault="00873B87" w:rsidP="00873B87">
      <w:pPr>
        <w:pStyle w:val="Reference"/>
      </w:pPr>
      <w:proofErr w:type="spellStart"/>
      <w:r w:rsidRPr="00873B87">
        <w:t>Canadell</w:t>
      </w:r>
      <w:proofErr w:type="spellEnd"/>
      <w:r w:rsidRPr="00873B87">
        <w:t xml:space="preserve"> J, Jackson RB, </w:t>
      </w:r>
      <w:proofErr w:type="spellStart"/>
      <w:r w:rsidRPr="00873B87">
        <w:t>Ehlringer</w:t>
      </w:r>
      <w:proofErr w:type="spellEnd"/>
      <w:r w:rsidRPr="00873B87">
        <w:t xml:space="preserve"> JR, Mooney HA, Sala OE, Schulze E-D. 1996. Maximum rooting depth of vegetation types at the global scale. </w:t>
      </w:r>
      <w:proofErr w:type="spellStart"/>
      <w:r w:rsidRPr="00873B87">
        <w:rPr>
          <w:i/>
        </w:rPr>
        <w:t>Oecologia</w:t>
      </w:r>
      <w:proofErr w:type="spellEnd"/>
      <w:r w:rsidRPr="00873B87">
        <w:t xml:space="preserve">, </w:t>
      </w:r>
      <w:r w:rsidRPr="00873B87">
        <w:rPr>
          <w:b/>
        </w:rPr>
        <w:t>108</w:t>
      </w:r>
      <w:r w:rsidR="00104CE1">
        <w:t>,</w:t>
      </w:r>
      <w:r w:rsidRPr="00873B87">
        <w:t xml:space="preserve"> 583-595.</w:t>
      </w:r>
    </w:p>
    <w:p w14:paraId="31C8BD81" w14:textId="77777777" w:rsidR="008C338D" w:rsidRDefault="008C338D" w:rsidP="004575C3">
      <w:pPr>
        <w:pStyle w:val="Reference"/>
        <w:rPr>
          <w:noProof/>
        </w:rPr>
      </w:pPr>
      <w:r>
        <w:rPr>
          <w:noProof/>
        </w:rPr>
        <w:t>Canham CA</w:t>
      </w:r>
      <w:r w:rsidR="00104CE1">
        <w:rPr>
          <w:noProof/>
        </w:rPr>
        <w:t>, Froend RH, Stock WD, Davies M. 201</w:t>
      </w:r>
      <w:r>
        <w:rPr>
          <w:noProof/>
        </w:rPr>
        <w:t xml:space="preserve">. Dynamics of phreatophyte root growth relative to seasonally fluctuating </w:t>
      </w:r>
      <w:r w:rsidR="00AB6B3E">
        <w:rPr>
          <w:noProof/>
        </w:rPr>
        <w:t>watertable</w:t>
      </w:r>
      <w:r>
        <w:rPr>
          <w:noProof/>
        </w:rPr>
        <w:t xml:space="preserve"> in a Mediterranean-type environment. </w:t>
      </w:r>
      <w:r w:rsidRPr="004575C3">
        <w:rPr>
          <w:i/>
          <w:noProof/>
        </w:rPr>
        <w:t>Oecologia</w:t>
      </w:r>
      <w:r>
        <w:rPr>
          <w:noProof/>
        </w:rPr>
        <w:t xml:space="preserve">, </w:t>
      </w:r>
      <w:r w:rsidRPr="004575C3">
        <w:rPr>
          <w:b/>
          <w:noProof/>
        </w:rPr>
        <w:t>170</w:t>
      </w:r>
      <w:r w:rsidR="00104CE1">
        <w:rPr>
          <w:b/>
          <w:noProof/>
        </w:rPr>
        <w:t>,</w:t>
      </w:r>
      <w:r>
        <w:rPr>
          <w:noProof/>
        </w:rPr>
        <w:t xml:space="preserve"> 909-916.</w:t>
      </w:r>
    </w:p>
    <w:p w14:paraId="31C8BD82" w14:textId="77777777" w:rsidR="00C27BD9" w:rsidRDefault="00C27BD9" w:rsidP="00C27BD9">
      <w:pPr>
        <w:pStyle w:val="BodyText"/>
        <w:ind w:left="567" w:hanging="567"/>
      </w:pPr>
      <w:proofErr w:type="spellStart"/>
      <w:r>
        <w:t>Chambert</w:t>
      </w:r>
      <w:proofErr w:type="spellEnd"/>
      <w:r>
        <w:t xml:space="preserve"> T, </w:t>
      </w:r>
      <w:proofErr w:type="spellStart"/>
      <w:r>
        <w:t>Pilliod</w:t>
      </w:r>
      <w:proofErr w:type="spellEnd"/>
      <w:r>
        <w:t xml:space="preserve"> DS, Goldberg CS, </w:t>
      </w:r>
      <w:proofErr w:type="spellStart"/>
      <w:r>
        <w:t>Doi</w:t>
      </w:r>
      <w:proofErr w:type="spellEnd"/>
      <w:r>
        <w:t xml:space="preserve"> H, </w:t>
      </w:r>
      <w:proofErr w:type="spellStart"/>
      <w:r>
        <w:t>Takahara</w:t>
      </w:r>
      <w:proofErr w:type="spellEnd"/>
      <w:r>
        <w:t xml:space="preserve"> T. 2017. An analytical framework for estimating aquatic species density from environmental DNA. </w:t>
      </w:r>
      <w:r>
        <w:rPr>
          <w:i/>
        </w:rPr>
        <w:t>Ecology and Evolution</w:t>
      </w:r>
      <w:r>
        <w:t xml:space="preserve">, </w:t>
      </w:r>
      <w:r w:rsidRPr="00C27BD9">
        <w:rPr>
          <w:b/>
        </w:rPr>
        <w:t>00</w:t>
      </w:r>
      <w:r w:rsidR="00104CE1">
        <w:t>,</w:t>
      </w:r>
      <w:r>
        <w:t xml:space="preserve"> 1-10.</w:t>
      </w:r>
    </w:p>
    <w:p w14:paraId="31C8BD83" w14:textId="77777777" w:rsidR="00873B87" w:rsidRDefault="00873B87" w:rsidP="00873B87">
      <w:pPr>
        <w:pStyle w:val="Reference"/>
        <w:rPr>
          <w:rStyle w:val="normaltextrun"/>
        </w:rPr>
      </w:pPr>
      <w:r w:rsidRPr="00873B87">
        <w:rPr>
          <w:rStyle w:val="normaltextrun"/>
        </w:rPr>
        <w:t xml:space="preserve">Christina M, </w:t>
      </w:r>
      <w:proofErr w:type="spellStart"/>
      <w:r w:rsidRPr="00873B87">
        <w:rPr>
          <w:rStyle w:val="normaltextrun"/>
        </w:rPr>
        <w:t>Laclau</w:t>
      </w:r>
      <w:proofErr w:type="spellEnd"/>
      <w:r w:rsidRPr="00873B87">
        <w:rPr>
          <w:rStyle w:val="normaltextrun"/>
        </w:rPr>
        <w:t xml:space="preserve"> J-P, </w:t>
      </w:r>
      <w:proofErr w:type="spellStart"/>
      <w:r w:rsidRPr="00873B87">
        <w:rPr>
          <w:rStyle w:val="normaltextrun"/>
        </w:rPr>
        <w:t>Gonҫalves</w:t>
      </w:r>
      <w:proofErr w:type="spellEnd"/>
      <w:r w:rsidRPr="00873B87">
        <w:rPr>
          <w:rStyle w:val="normaltextrun"/>
        </w:rPr>
        <w:t xml:space="preserve"> JLM, Jourdan C, </w:t>
      </w:r>
      <w:proofErr w:type="spellStart"/>
      <w:r w:rsidRPr="00873B87">
        <w:rPr>
          <w:rStyle w:val="normaltextrun"/>
        </w:rPr>
        <w:t>Nouvellon</w:t>
      </w:r>
      <w:proofErr w:type="spellEnd"/>
      <w:r w:rsidRPr="00873B87">
        <w:rPr>
          <w:rStyle w:val="normaltextrun"/>
        </w:rPr>
        <w:t xml:space="preserve"> Y, </w:t>
      </w:r>
      <w:proofErr w:type="spellStart"/>
      <w:r w:rsidRPr="00873B87">
        <w:rPr>
          <w:rStyle w:val="normaltextrun"/>
        </w:rPr>
        <w:t>Bouillet</w:t>
      </w:r>
      <w:proofErr w:type="spellEnd"/>
      <w:r w:rsidRPr="00873B87">
        <w:rPr>
          <w:rStyle w:val="normaltextrun"/>
        </w:rPr>
        <w:t xml:space="preserve"> J-P. 2011. Almost symmetrical vertical growth rates above and below ground in one of the world’s most productive forests. </w:t>
      </w:r>
      <w:r w:rsidRPr="00873B87">
        <w:rPr>
          <w:rStyle w:val="normaltextrun"/>
          <w:i/>
        </w:rPr>
        <w:t>Ecosphere</w:t>
      </w:r>
      <w:r w:rsidRPr="00873B87">
        <w:rPr>
          <w:rStyle w:val="normaltextrun"/>
        </w:rPr>
        <w:t xml:space="preserve">, </w:t>
      </w:r>
      <w:r w:rsidRPr="00873B87">
        <w:rPr>
          <w:rStyle w:val="normaltextrun"/>
          <w:b/>
        </w:rPr>
        <w:t>2</w:t>
      </w:r>
      <w:r w:rsidR="00104CE1">
        <w:rPr>
          <w:rStyle w:val="normaltextrun"/>
        </w:rPr>
        <w:t>,</w:t>
      </w:r>
      <w:r w:rsidRPr="00873B87">
        <w:rPr>
          <w:rStyle w:val="normaltextrun"/>
        </w:rPr>
        <w:t xml:space="preserve"> 1-10.</w:t>
      </w:r>
    </w:p>
    <w:p w14:paraId="31C8BD84" w14:textId="77777777" w:rsidR="00F62EB2" w:rsidRPr="004840CB" w:rsidRDefault="00F62EB2" w:rsidP="00F62EB2">
      <w:pPr>
        <w:autoSpaceDE w:val="0"/>
        <w:autoSpaceDN w:val="0"/>
        <w:adjustRightInd w:val="0"/>
        <w:ind w:left="567" w:hanging="567"/>
        <w:rPr>
          <w:rFonts w:asciiTheme="minorHAnsi" w:hAnsiTheme="minorHAnsi" w:cs="Arial"/>
        </w:rPr>
      </w:pPr>
      <w:r>
        <w:rPr>
          <w:rFonts w:asciiTheme="minorHAnsi" w:hAnsiTheme="minorHAnsi" w:cs="Arial"/>
        </w:rPr>
        <w:t xml:space="preserve">Dahlhaus P, Evans TJ, Nathan EL, Cox JW, Simmons C. 2010. Water-level response to land-use change and the implications for salinity management in the West Moorabool River catchment. </w:t>
      </w:r>
      <w:r w:rsidRPr="00F62EB2">
        <w:rPr>
          <w:rFonts w:asciiTheme="minorHAnsi" w:hAnsiTheme="minorHAnsi" w:cs="Arial"/>
          <w:i/>
        </w:rPr>
        <w:t>Hydrogeology</w:t>
      </w:r>
      <w:r>
        <w:rPr>
          <w:rFonts w:asciiTheme="minorHAnsi" w:hAnsiTheme="minorHAnsi" w:cs="Arial"/>
        </w:rPr>
        <w:t xml:space="preserve">, </w:t>
      </w:r>
      <w:r w:rsidRPr="0035755B">
        <w:rPr>
          <w:rFonts w:asciiTheme="minorHAnsi" w:hAnsiTheme="minorHAnsi" w:cs="Arial"/>
          <w:b/>
        </w:rPr>
        <w:t>18(7)</w:t>
      </w:r>
      <w:r>
        <w:rPr>
          <w:rFonts w:asciiTheme="minorHAnsi" w:hAnsiTheme="minorHAnsi" w:cs="Arial"/>
        </w:rPr>
        <w:t>, 1611-1623.</w:t>
      </w:r>
    </w:p>
    <w:p w14:paraId="31C8BD85" w14:textId="77777777" w:rsidR="00156AB1" w:rsidRPr="008860A2" w:rsidRDefault="00156AB1" w:rsidP="00156AB1">
      <w:pPr>
        <w:autoSpaceDE w:val="0"/>
        <w:autoSpaceDN w:val="0"/>
        <w:adjustRightInd w:val="0"/>
        <w:ind w:left="567" w:hanging="567"/>
        <w:rPr>
          <w:rFonts w:asciiTheme="minorHAnsi" w:hAnsiTheme="minorHAnsi" w:cs="Arial"/>
        </w:rPr>
      </w:pPr>
      <w:proofErr w:type="spellStart"/>
      <w:r w:rsidRPr="008860A2">
        <w:rPr>
          <w:rFonts w:asciiTheme="minorHAnsi" w:hAnsiTheme="minorHAnsi" w:cs="Arial"/>
        </w:rPr>
        <w:t>Datry</w:t>
      </w:r>
      <w:proofErr w:type="spellEnd"/>
      <w:r w:rsidRPr="008860A2">
        <w:rPr>
          <w:rFonts w:asciiTheme="minorHAnsi" w:hAnsiTheme="minorHAnsi" w:cs="Arial"/>
        </w:rPr>
        <w:t xml:space="preserve"> T, </w:t>
      </w:r>
      <w:proofErr w:type="spellStart"/>
      <w:r w:rsidRPr="008860A2">
        <w:rPr>
          <w:rFonts w:asciiTheme="minorHAnsi" w:hAnsiTheme="minorHAnsi" w:cs="Arial"/>
        </w:rPr>
        <w:t>Malard</w:t>
      </w:r>
      <w:proofErr w:type="spellEnd"/>
      <w:r w:rsidRPr="008860A2">
        <w:rPr>
          <w:rFonts w:asciiTheme="minorHAnsi" w:hAnsiTheme="minorHAnsi" w:cs="Arial"/>
        </w:rPr>
        <w:t xml:space="preserve"> F, </w:t>
      </w:r>
      <w:proofErr w:type="spellStart"/>
      <w:r w:rsidRPr="008860A2">
        <w:rPr>
          <w:rFonts w:asciiTheme="minorHAnsi" w:hAnsiTheme="minorHAnsi" w:cs="Arial"/>
        </w:rPr>
        <w:t>Gibert</w:t>
      </w:r>
      <w:proofErr w:type="spellEnd"/>
      <w:r w:rsidRPr="008860A2">
        <w:rPr>
          <w:rFonts w:asciiTheme="minorHAnsi" w:hAnsiTheme="minorHAnsi" w:cs="Arial"/>
        </w:rPr>
        <w:t xml:space="preserve"> J. 2005. Response of invertebrate assem</w:t>
      </w:r>
      <w:r w:rsidRPr="008860A2">
        <w:rPr>
          <w:rFonts w:asciiTheme="minorHAnsi" w:hAnsiTheme="minorHAnsi" w:cs="Arial"/>
        </w:rPr>
        <w:softHyphen/>
        <w:t xml:space="preserve">blages to increased groundwater recharge rates in a phreatic aquifer. </w:t>
      </w:r>
      <w:r w:rsidRPr="008860A2">
        <w:rPr>
          <w:rFonts w:asciiTheme="minorHAnsi" w:hAnsiTheme="minorHAnsi" w:cs="Arial"/>
          <w:i/>
          <w:iCs/>
        </w:rPr>
        <w:t xml:space="preserve">Journal of the North American </w:t>
      </w:r>
      <w:proofErr w:type="spellStart"/>
      <w:r w:rsidRPr="008860A2">
        <w:rPr>
          <w:rFonts w:asciiTheme="minorHAnsi" w:hAnsiTheme="minorHAnsi" w:cs="Arial"/>
          <w:i/>
          <w:iCs/>
        </w:rPr>
        <w:t>Benthological</w:t>
      </w:r>
      <w:proofErr w:type="spellEnd"/>
      <w:r w:rsidRPr="008860A2">
        <w:rPr>
          <w:rFonts w:asciiTheme="minorHAnsi" w:hAnsiTheme="minorHAnsi" w:cs="Arial"/>
          <w:i/>
          <w:iCs/>
        </w:rPr>
        <w:t xml:space="preserve"> Society</w:t>
      </w:r>
      <w:r w:rsidRPr="008860A2">
        <w:rPr>
          <w:rFonts w:asciiTheme="minorHAnsi" w:hAnsiTheme="minorHAnsi" w:cs="Arial"/>
          <w:iCs/>
        </w:rPr>
        <w:t>,</w:t>
      </w:r>
      <w:r w:rsidRPr="008860A2">
        <w:rPr>
          <w:rFonts w:asciiTheme="minorHAnsi" w:hAnsiTheme="minorHAnsi" w:cs="Arial"/>
          <w:i/>
          <w:iCs/>
        </w:rPr>
        <w:t xml:space="preserve"> </w:t>
      </w:r>
      <w:r w:rsidRPr="008860A2">
        <w:rPr>
          <w:rFonts w:asciiTheme="minorHAnsi" w:hAnsiTheme="minorHAnsi" w:cs="Arial"/>
          <w:b/>
          <w:bCs/>
        </w:rPr>
        <w:t>24</w:t>
      </w:r>
      <w:r w:rsidR="0044741D">
        <w:rPr>
          <w:rFonts w:asciiTheme="minorHAnsi" w:hAnsiTheme="minorHAnsi" w:cs="Arial"/>
          <w:b/>
          <w:bCs/>
        </w:rPr>
        <w:t>,</w:t>
      </w:r>
      <w:r w:rsidRPr="008860A2">
        <w:rPr>
          <w:rFonts w:asciiTheme="minorHAnsi" w:hAnsiTheme="minorHAnsi" w:cs="Arial"/>
        </w:rPr>
        <w:t xml:space="preserve"> 461–477. </w:t>
      </w:r>
    </w:p>
    <w:p w14:paraId="31C8BD86" w14:textId="77777777" w:rsidR="00873B87" w:rsidRDefault="00873B87" w:rsidP="00873B87">
      <w:pPr>
        <w:pStyle w:val="Reference"/>
        <w:rPr>
          <w:rStyle w:val="normaltextrun"/>
        </w:rPr>
      </w:pPr>
      <w:r w:rsidRPr="00873B87">
        <w:rPr>
          <w:rStyle w:val="normaltextrun"/>
        </w:rPr>
        <w:t xml:space="preserve">Dell B, Bartle J, Tracey W. 1983. Root occupation and root channels of Jarrah forest subsoils. Australian </w:t>
      </w:r>
      <w:r w:rsidRPr="00873B87">
        <w:rPr>
          <w:rStyle w:val="normaltextrun"/>
          <w:i/>
        </w:rPr>
        <w:t>Journal of Botany</w:t>
      </w:r>
      <w:r w:rsidRPr="00873B87">
        <w:rPr>
          <w:rStyle w:val="normaltextrun"/>
        </w:rPr>
        <w:t xml:space="preserve">, </w:t>
      </w:r>
      <w:r w:rsidRPr="00873B87">
        <w:rPr>
          <w:rStyle w:val="normaltextrun"/>
          <w:b/>
        </w:rPr>
        <w:t>31(6)</w:t>
      </w:r>
      <w:r w:rsidR="0044741D">
        <w:rPr>
          <w:rStyle w:val="normaltextrun"/>
        </w:rPr>
        <w:t>,</w:t>
      </w:r>
      <w:r w:rsidR="00156AB1">
        <w:rPr>
          <w:rStyle w:val="normaltextrun"/>
        </w:rPr>
        <w:t xml:space="preserve"> </w:t>
      </w:r>
      <w:r w:rsidRPr="00873B87">
        <w:rPr>
          <w:rStyle w:val="normaltextrun"/>
        </w:rPr>
        <w:t>615-627.</w:t>
      </w:r>
    </w:p>
    <w:p w14:paraId="31C8BD87" w14:textId="77777777" w:rsidR="000F3E4E" w:rsidRPr="000F3E4E" w:rsidRDefault="000F3E4E" w:rsidP="00BC31F1">
      <w:pPr>
        <w:pStyle w:val="Reference"/>
      </w:pPr>
      <w:r>
        <w:t>Department of Environment (DoE). 2013. Significant impact guidelines 1.3: Coal seam gas and large coal mining developments- impacts on water resources. Commonwealth of Australia.</w:t>
      </w:r>
      <w:r w:rsidR="00BC31F1">
        <w:t xml:space="preserve"> </w:t>
      </w:r>
      <w:hyperlink r:id="rId90" w:history="1">
        <w:r>
          <w:rPr>
            <w:rStyle w:val="Hyperlink"/>
          </w:rPr>
          <w:t>Report Link</w:t>
        </w:r>
      </w:hyperlink>
      <w:r>
        <w:t>.</w:t>
      </w:r>
    </w:p>
    <w:p w14:paraId="31C8BD88" w14:textId="77777777" w:rsidR="0044741D" w:rsidRPr="0044741D" w:rsidRDefault="006D37CE" w:rsidP="0044741D">
      <w:pPr>
        <w:pStyle w:val="Reference"/>
      </w:pPr>
      <w:r w:rsidRPr="006D37CE">
        <w:t>D</w:t>
      </w:r>
      <w:r w:rsidR="00490A72">
        <w:t xml:space="preserve">epartment of </w:t>
      </w:r>
      <w:r>
        <w:t>P</w:t>
      </w:r>
      <w:r w:rsidR="00490A72">
        <w:t xml:space="preserve">rimary </w:t>
      </w:r>
      <w:r>
        <w:t>I</w:t>
      </w:r>
      <w:r w:rsidR="00490A72">
        <w:t>ndustries</w:t>
      </w:r>
      <w:r w:rsidR="003E06A8">
        <w:t xml:space="preserve"> (DPI)</w:t>
      </w:r>
      <w:r>
        <w:t>. 20</w:t>
      </w:r>
      <w:r w:rsidR="00A8352B">
        <w:t>1</w:t>
      </w:r>
      <w:r>
        <w:t xml:space="preserve">6. </w:t>
      </w:r>
      <w:r w:rsidRPr="006D37CE">
        <w:t xml:space="preserve">Methods for identification of high probability </w:t>
      </w:r>
      <w:r w:rsidR="004F60BB">
        <w:t>groundwater-dependent</w:t>
      </w:r>
      <w:r w:rsidRPr="006D37CE">
        <w:t xml:space="preserve"> ecosystems. Department of Primary Industr</w:t>
      </w:r>
      <w:r w:rsidR="004E146C">
        <w:t>i</w:t>
      </w:r>
      <w:r w:rsidRPr="006D37CE">
        <w:t>es, Skills and Regional Development</w:t>
      </w:r>
      <w:r>
        <w:t>, NSW.</w:t>
      </w:r>
      <w:r w:rsidR="0044741D">
        <w:t xml:space="preserve"> </w:t>
      </w:r>
      <w:hyperlink r:id="rId91" w:history="1">
        <w:r w:rsidR="0044741D">
          <w:rPr>
            <w:rStyle w:val="Hyperlink"/>
          </w:rPr>
          <w:t>Report Link</w:t>
        </w:r>
      </w:hyperlink>
      <w:r w:rsidR="0044741D">
        <w:t>.</w:t>
      </w:r>
    </w:p>
    <w:p w14:paraId="31C8BD89" w14:textId="77777777" w:rsidR="0030782B" w:rsidRPr="0030782B" w:rsidRDefault="00A22094" w:rsidP="0030782B">
      <w:pPr>
        <w:pStyle w:val="Reference"/>
      </w:pPr>
      <w:r>
        <w:t>Department of Primary Industries</w:t>
      </w:r>
      <w:r w:rsidR="0030782B">
        <w:t xml:space="preserve"> (DPI)</w:t>
      </w:r>
      <w:r>
        <w:t>. 2012. NSW Aquifer Interference Policy: NSW Government policy for the licensing and assessment of aquifer interference activities. State of New South Wales through Department of Trade and Investment, Regional Infrastructure and Services.</w:t>
      </w:r>
      <w:r w:rsidR="0030782B">
        <w:t xml:space="preserve"> </w:t>
      </w:r>
      <w:hyperlink r:id="rId92" w:history="1">
        <w:r w:rsidR="0030782B">
          <w:rPr>
            <w:rStyle w:val="Hyperlink"/>
          </w:rPr>
          <w:t>Report Link</w:t>
        </w:r>
      </w:hyperlink>
      <w:r w:rsidR="0030782B">
        <w:t>.</w:t>
      </w:r>
    </w:p>
    <w:p w14:paraId="31C8BD8A" w14:textId="77777777" w:rsidR="0030782B" w:rsidRDefault="004E146C" w:rsidP="004E146C">
      <w:pPr>
        <w:pStyle w:val="BodyText"/>
        <w:ind w:left="567" w:hanging="567"/>
      </w:pPr>
      <w:r w:rsidRPr="004E146C">
        <w:t>Department of Science, Information Technology and Innovation</w:t>
      </w:r>
      <w:r w:rsidR="006976BB">
        <w:t xml:space="preserve"> (DSITI)</w:t>
      </w:r>
      <w:r w:rsidRPr="004E146C">
        <w:t>. 2014. Guideline for the environmental assessment of subterranean aquatic fauna. Queensland Government.</w:t>
      </w:r>
      <w:r w:rsidR="0030782B">
        <w:t xml:space="preserve"> </w:t>
      </w:r>
      <w:hyperlink r:id="rId93" w:history="1">
        <w:r w:rsidR="0030782B">
          <w:rPr>
            <w:rStyle w:val="Hyperlink"/>
          </w:rPr>
          <w:t>Report Link</w:t>
        </w:r>
      </w:hyperlink>
      <w:r w:rsidR="0030782B">
        <w:t>.</w:t>
      </w:r>
    </w:p>
    <w:p w14:paraId="31C8BD8B" w14:textId="77777777" w:rsidR="003E06A8" w:rsidRDefault="006C7AB2" w:rsidP="006C7AB2">
      <w:pPr>
        <w:ind w:left="567" w:hanging="567"/>
      </w:pPr>
      <w:r>
        <w:t>Department of Science, Information Technology and Innovation</w:t>
      </w:r>
      <w:r w:rsidR="00E44773">
        <w:t xml:space="preserve"> DSITI)</w:t>
      </w:r>
      <w:r w:rsidR="0085632B">
        <w:t>.</w:t>
      </w:r>
      <w:r w:rsidR="003E06A8">
        <w:t xml:space="preserve"> 2016.</w:t>
      </w:r>
      <w:r>
        <w:t xml:space="preserve"> </w:t>
      </w:r>
      <w:r w:rsidR="004F60BB">
        <w:t>Groundwater-dependent</w:t>
      </w:r>
      <w:r>
        <w:t xml:space="preserve"> Ecosystem Mapping Report: Comet, Dawson and Mackenzie River drainage sub-basins, Department of Science, Information Technology and Innovation, Brisbane.</w:t>
      </w:r>
      <w:r w:rsidR="003E06A8">
        <w:t xml:space="preserve"> </w:t>
      </w:r>
      <w:hyperlink r:id="rId94" w:history="1">
        <w:r w:rsidR="003E06A8">
          <w:rPr>
            <w:rStyle w:val="Hyperlink"/>
          </w:rPr>
          <w:t>Report Link</w:t>
        </w:r>
      </w:hyperlink>
      <w:r w:rsidR="003E06A8">
        <w:t>.</w:t>
      </w:r>
    </w:p>
    <w:p w14:paraId="31C8BD8C" w14:textId="77777777" w:rsidR="00E7415A" w:rsidRDefault="00E7415A" w:rsidP="00E7415A">
      <w:pPr>
        <w:pStyle w:val="Reference"/>
      </w:pPr>
      <w:r w:rsidRPr="00E7415A">
        <w:t xml:space="preserve">Doody TM, Barron OV, </w:t>
      </w:r>
      <w:proofErr w:type="spellStart"/>
      <w:r w:rsidRPr="00E7415A">
        <w:t>Dowlsey</w:t>
      </w:r>
      <w:proofErr w:type="spellEnd"/>
      <w:r w:rsidRPr="00E7415A">
        <w:t xml:space="preserve"> K, </w:t>
      </w:r>
      <w:proofErr w:type="spellStart"/>
      <w:r w:rsidRPr="00E7415A">
        <w:t>Emelyanova</w:t>
      </w:r>
      <w:proofErr w:type="spellEnd"/>
      <w:r w:rsidRPr="00E7415A">
        <w:t xml:space="preserve"> I, Fawcett J, Overton IC, Pritchard JL, van </w:t>
      </w:r>
      <w:proofErr w:type="spellStart"/>
      <w:r w:rsidRPr="00E7415A">
        <w:t>Dijk</w:t>
      </w:r>
      <w:proofErr w:type="spellEnd"/>
      <w:r w:rsidRPr="00E7415A">
        <w:t xml:space="preserve"> AIJM, Warren G. 2017. Continental mapping of </w:t>
      </w:r>
      <w:r w:rsidR="004F60BB">
        <w:t>groundwater-dependent</w:t>
      </w:r>
      <w:r w:rsidRPr="00E7415A">
        <w:t xml:space="preserve"> ecosystems: A methodological framework to integrate diverse data and expert opinion. </w:t>
      </w:r>
      <w:r w:rsidRPr="00E7415A">
        <w:rPr>
          <w:i/>
        </w:rPr>
        <w:t>Journal of Hydrology: Regional Studies</w:t>
      </w:r>
      <w:r w:rsidRPr="00E7415A">
        <w:t>,</w:t>
      </w:r>
      <w:r w:rsidRPr="00E7415A">
        <w:rPr>
          <w:i/>
        </w:rPr>
        <w:t xml:space="preserve"> </w:t>
      </w:r>
      <w:r w:rsidRPr="00E7415A">
        <w:rPr>
          <w:b/>
        </w:rPr>
        <w:t>10</w:t>
      </w:r>
      <w:r w:rsidRPr="00E7415A">
        <w:t>, 61-81.</w:t>
      </w:r>
    </w:p>
    <w:p w14:paraId="31C8BD8D" w14:textId="77777777" w:rsidR="008E14DE" w:rsidRPr="008E14DE" w:rsidRDefault="008E14DE" w:rsidP="008E14DE">
      <w:pPr>
        <w:pStyle w:val="Reference"/>
      </w:pPr>
      <w:r w:rsidRPr="008E14DE">
        <w:lastRenderedPageBreak/>
        <w:t>Doody TM</w:t>
      </w:r>
      <w:r w:rsidRPr="00B47C18">
        <w:t xml:space="preserve">, </w:t>
      </w:r>
      <w:proofErr w:type="spellStart"/>
      <w:r w:rsidRPr="00B47C18">
        <w:t>Colloff</w:t>
      </w:r>
      <w:proofErr w:type="spellEnd"/>
      <w:r w:rsidRPr="00B47C18">
        <w:t xml:space="preserve"> MJ, Davies M, </w:t>
      </w:r>
      <w:proofErr w:type="spellStart"/>
      <w:r w:rsidRPr="00B47C18">
        <w:t>Koul</w:t>
      </w:r>
      <w:proofErr w:type="spellEnd"/>
      <w:r w:rsidRPr="00B47C18">
        <w:t xml:space="preserve"> V, </w:t>
      </w:r>
      <w:proofErr w:type="spellStart"/>
      <w:r w:rsidRPr="00B47C18">
        <w:t>Benyon</w:t>
      </w:r>
      <w:proofErr w:type="spellEnd"/>
      <w:r w:rsidRPr="00B47C18">
        <w:t xml:space="preserve"> RG, </w:t>
      </w:r>
      <w:proofErr w:type="spellStart"/>
      <w:r w:rsidRPr="00B47C18">
        <w:t>Nagler</w:t>
      </w:r>
      <w:proofErr w:type="spellEnd"/>
      <w:r w:rsidRPr="00B47C18">
        <w:t xml:space="preserve"> PL. 2015. Quantifying water requirements of riparian river red gum (</w:t>
      </w:r>
      <w:r w:rsidRPr="00D14BB3">
        <w:rPr>
          <w:i/>
        </w:rPr>
        <w:t xml:space="preserve">Eucalyptus </w:t>
      </w:r>
      <w:proofErr w:type="spellStart"/>
      <w:r w:rsidRPr="00D14BB3">
        <w:rPr>
          <w:i/>
        </w:rPr>
        <w:t>camaldulensis</w:t>
      </w:r>
      <w:proofErr w:type="spellEnd"/>
      <w:r w:rsidRPr="00B47C18">
        <w:t xml:space="preserve">) in the Murray-Darling Basin, Australia – implications for the management of environmental flows. </w:t>
      </w:r>
      <w:proofErr w:type="spellStart"/>
      <w:r w:rsidRPr="008E14DE">
        <w:rPr>
          <w:i/>
        </w:rPr>
        <w:t>Ecohydrology</w:t>
      </w:r>
      <w:proofErr w:type="spellEnd"/>
      <w:r>
        <w:t>,</w:t>
      </w:r>
      <w:r w:rsidRPr="00B47C18">
        <w:t xml:space="preserve"> </w:t>
      </w:r>
      <w:r w:rsidRPr="008E14DE">
        <w:rPr>
          <w:b/>
        </w:rPr>
        <w:t>8(8</w:t>
      </w:r>
      <w:r w:rsidRPr="00B47C18">
        <w:t>), 1471-1487</w:t>
      </w:r>
      <w:r>
        <w:t>.</w:t>
      </w:r>
    </w:p>
    <w:p w14:paraId="31C8BD8E" w14:textId="77777777" w:rsidR="00995D9F" w:rsidRDefault="00995D9F" w:rsidP="00995D9F">
      <w:pPr>
        <w:pStyle w:val="Reference"/>
      </w:pPr>
      <w:r w:rsidRPr="00995D9F">
        <w:t>Doody TM, Holland</w:t>
      </w:r>
      <w:r w:rsidRPr="00D14BB3">
        <w:t xml:space="preserve"> KL, </w:t>
      </w:r>
      <w:proofErr w:type="spellStart"/>
      <w:r w:rsidRPr="00D14BB3">
        <w:t>Benyon</w:t>
      </w:r>
      <w:proofErr w:type="spellEnd"/>
      <w:r w:rsidRPr="00D14BB3">
        <w:t xml:space="preserve"> RG, Jolly ID. 2009. Effect of groundwater freshening on riparian vegetation water balance. </w:t>
      </w:r>
      <w:r w:rsidRPr="007B5DAA">
        <w:rPr>
          <w:i/>
        </w:rPr>
        <w:t>Hydrological Processes</w:t>
      </w:r>
      <w:r w:rsidR="003E06A8">
        <w:t xml:space="preserve">, </w:t>
      </w:r>
      <w:r w:rsidR="003E06A8" w:rsidRPr="00F43DBA">
        <w:rPr>
          <w:b/>
        </w:rPr>
        <w:t>23(24</w:t>
      </w:r>
      <w:r w:rsidR="003E06A8">
        <w:t>),</w:t>
      </w:r>
      <w:r w:rsidRPr="00D14BB3">
        <w:t xml:space="preserve"> 3485-3499. </w:t>
      </w:r>
    </w:p>
    <w:p w14:paraId="31C8BD8F" w14:textId="77777777" w:rsidR="0095672F" w:rsidRPr="0095672F" w:rsidRDefault="0095672F" w:rsidP="0095672F">
      <w:pPr>
        <w:pStyle w:val="Reference"/>
      </w:pPr>
      <w:proofErr w:type="spellStart"/>
      <w:r>
        <w:t>Dresel</w:t>
      </w:r>
      <w:proofErr w:type="spellEnd"/>
      <w:r>
        <w:t xml:space="preserve">, P. E., Clark, R. Cheng, X., Reid, M., Fawcett, J., and </w:t>
      </w:r>
      <w:proofErr w:type="spellStart"/>
      <w:r>
        <w:t>Cochraine</w:t>
      </w:r>
      <w:proofErr w:type="spellEnd"/>
      <w:r>
        <w:t xml:space="preserve">, D. (2010) Mapping Terrestrial Groundwater Dependent Ecosystems: Method Development and Example Output. Victoria Department of Primary Industries, Melbourne VIC. 66 pp. </w:t>
      </w:r>
      <w:hyperlink r:id="rId95" w:history="1">
        <w:r>
          <w:rPr>
            <w:rStyle w:val="Hyperlink"/>
          </w:rPr>
          <w:t>Report Link</w:t>
        </w:r>
      </w:hyperlink>
      <w:r>
        <w:t>.</w:t>
      </w:r>
    </w:p>
    <w:p w14:paraId="31C8BD90" w14:textId="77777777" w:rsidR="00A7458E" w:rsidRDefault="00A7458E" w:rsidP="00A7458E">
      <w:pPr>
        <w:pStyle w:val="Reference"/>
        <w:rPr>
          <w:rStyle w:val="normaltextrun"/>
        </w:rPr>
      </w:pPr>
      <w:proofErr w:type="spellStart"/>
      <w:r w:rsidRPr="00A7458E">
        <w:rPr>
          <w:rStyle w:val="normaltextrun"/>
        </w:rPr>
        <w:t>Eamus</w:t>
      </w:r>
      <w:proofErr w:type="spellEnd"/>
      <w:r w:rsidRPr="00A7458E">
        <w:rPr>
          <w:rStyle w:val="normaltextrun"/>
        </w:rPr>
        <w:t xml:space="preserve"> D, </w:t>
      </w:r>
      <w:proofErr w:type="spellStart"/>
      <w:r w:rsidRPr="00A7458E">
        <w:rPr>
          <w:rStyle w:val="normaltextrun"/>
        </w:rPr>
        <w:t>Froend</w:t>
      </w:r>
      <w:proofErr w:type="spellEnd"/>
      <w:r w:rsidRPr="00A7458E">
        <w:rPr>
          <w:rStyle w:val="normaltextrun"/>
        </w:rPr>
        <w:t xml:space="preserve"> R, </w:t>
      </w:r>
      <w:proofErr w:type="spellStart"/>
      <w:r w:rsidRPr="00A7458E">
        <w:rPr>
          <w:rStyle w:val="normaltextrun"/>
        </w:rPr>
        <w:t>Loomes</w:t>
      </w:r>
      <w:proofErr w:type="spellEnd"/>
      <w:r w:rsidRPr="00A7458E">
        <w:rPr>
          <w:rStyle w:val="normaltextrun"/>
        </w:rPr>
        <w:t xml:space="preserve"> R, Hose G, Murray B. 2006. A functional methodology for determining the groundwater regime needed to maintain the health of groundwater-dependent vegetation. </w:t>
      </w:r>
      <w:r w:rsidRPr="00A7458E">
        <w:rPr>
          <w:rStyle w:val="normaltextrun"/>
          <w:i/>
        </w:rPr>
        <w:t>Australian Journal of Botany</w:t>
      </w:r>
      <w:r w:rsidRPr="00A7458E">
        <w:rPr>
          <w:rStyle w:val="normaltextrun"/>
        </w:rPr>
        <w:t xml:space="preserve">, </w:t>
      </w:r>
      <w:r w:rsidRPr="00A7458E">
        <w:rPr>
          <w:rStyle w:val="normaltextrun"/>
          <w:b/>
        </w:rPr>
        <w:t>54</w:t>
      </w:r>
      <w:r w:rsidR="00F43DBA">
        <w:rPr>
          <w:rStyle w:val="normaltextrun"/>
          <w:b/>
        </w:rPr>
        <w:t>,</w:t>
      </w:r>
      <w:r w:rsidRPr="00A7458E">
        <w:rPr>
          <w:rStyle w:val="normaltextrun"/>
        </w:rPr>
        <w:t xml:space="preserve"> 91-114.</w:t>
      </w:r>
    </w:p>
    <w:p w14:paraId="31C8BD91" w14:textId="77777777" w:rsidR="00922EBB" w:rsidRPr="00922EBB" w:rsidRDefault="00922EBB" w:rsidP="00922EBB">
      <w:pPr>
        <w:pStyle w:val="Reference"/>
        <w:rPr>
          <w:rStyle w:val="normaltextrun"/>
        </w:rPr>
      </w:pPr>
      <w:proofErr w:type="spellStart"/>
      <w:r w:rsidRPr="00922EBB">
        <w:rPr>
          <w:rStyle w:val="normaltextrun"/>
        </w:rPr>
        <w:t>Eamus</w:t>
      </w:r>
      <w:proofErr w:type="spellEnd"/>
      <w:r w:rsidRPr="00922EBB">
        <w:rPr>
          <w:rStyle w:val="normaltextrun"/>
        </w:rPr>
        <w:t xml:space="preserve"> D, Fu B, Springer AE, Stevens L</w:t>
      </w:r>
      <w:r w:rsidRPr="004575C3">
        <w:rPr>
          <w:rStyle w:val="normaltextrun"/>
        </w:rPr>
        <w:t>E</w:t>
      </w:r>
      <w:r>
        <w:rPr>
          <w:rStyle w:val="normaltextrun"/>
        </w:rPr>
        <w:t>.</w:t>
      </w:r>
      <w:r w:rsidRPr="004575C3">
        <w:rPr>
          <w:rStyle w:val="normaltextrun"/>
        </w:rPr>
        <w:t xml:space="preserve"> </w:t>
      </w:r>
      <w:r w:rsidRPr="005E5DEB">
        <w:rPr>
          <w:rStyle w:val="normaltextrun"/>
        </w:rPr>
        <w:t>2016.</w:t>
      </w:r>
      <w:r w:rsidRPr="004575C3">
        <w:rPr>
          <w:rStyle w:val="normaltextrun"/>
        </w:rPr>
        <w:t xml:space="preserve"> </w:t>
      </w:r>
      <w:r w:rsidR="004F60BB">
        <w:rPr>
          <w:rStyle w:val="normaltextrun"/>
        </w:rPr>
        <w:t>Groundwater-dependent</w:t>
      </w:r>
      <w:r w:rsidRPr="004575C3">
        <w:rPr>
          <w:rStyle w:val="normaltextrun"/>
        </w:rPr>
        <w:t xml:space="preserve"> Ecosystems: Classification, Identification Techniques and Threats. In: </w:t>
      </w:r>
      <w:proofErr w:type="spellStart"/>
      <w:r w:rsidRPr="004575C3">
        <w:rPr>
          <w:rStyle w:val="normaltextrun"/>
        </w:rPr>
        <w:t>Jakeman</w:t>
      </w:r>
      <w:proofErr w:type="spellEnd"/>
      <w:r w:rsidRPr="004575C3">
        <w:rPr>
          <w:rStyle w:val="normaltextrun"/>
        </w:rPr>
        <w:t xml:space="preserve"> A.J., </w:t>
      </w:r>
      <w:proofErr w:type="spellStart"/>
      <w:r w:rsidRPr="004575C3">
        <w:rPr>
          <w:rStyle w:val="normaltextrun"/>
        </w:rPr>
        <w:t>Barreteau</w:t>
      </w:r>
      <w:proofErr w:type="spellEnd"/>
      <w:r w:rsidRPr="004575C3">
        <w:rPr>
          <w:rStyle w:val="normaltextrun"/>
        </w:rPr>
        <w:t xml:space="preserve"> O., Hunt R.J., </w:t>
      </w:r>
      <w:proofErr w:type="spellStart"/>
      <w:r w:rsidRPr="004575C3">
        <w:rPr>
          <w:rStyle w:val="normaltextrun"/>
        </w:rPr>
        <w:t>Rinaudo</w:t>
      </w:r>
      <w:proofErr w:type="spellEnd"/>
      <w:r w:rsidRPr="004575C3">
        <w:rPr>
          <w:rStyle w:val="normaltextrun"/>
        </w:rPr>
        <w:t xml:space="preserve"> JD., Ross A. (</w:t>
      </w:r>
      <w:proofErr w:type="spellStart"/>
      <w:r w:rsidRPr="004575C3">
        <w:rPr>
          <w:rStyle w:val="normaltextrun"/>
        </w:rPr>
        <w:t>eds</w:t>
      </w:r>
      <w:proofErr w:type="spellEnd"/>
      <w:r w:rsidRPr="004575C3">
        <w:rPr>
          <w:rStyle w:val="normaltextrun"/>
        </w:rPr>
        <w:t>) Integrated Ground</w:t>
      </w:r>
      <w:r w:rsidR="00F43DBA">
        <w:rPr>
          <w:rStyle w:val="normaltextrun"/>
        </w:rPr>
        <w:t>water Management, pp 313-346. Springer.</w:t>
      </w:r>
    </w:p>
    <w:p w14:paraId="31C8BD92" w14:textId="77777777" w:rsidR="00004378" w:rsidRPr="00004378" w:rsidRDefault="00004378" w:rsidP="00004378">
      <w:pPr>
        <w:pStyle w:val="Reference"/>
      </w:pPr>
      <w:proofErr w:type="spellStart"/>
      <w:r w:rsidRPr="00004378">
        <w:t>Eamus</w:t>
      </w:r>
      <w:proofErr w:type="spellEnd"/>
      <w:r w:rsidRPr="00004378">
        <w:t xml:space="preserve"> D, </w:t>
      </w:r>
      <w:proofErr w:type="spellStart"/>
      <w:r w:rsidRPr="00004378">
        <w:t>Zolfaghar</w:t>
      </w:r>
      <w:proofErr w:type="spellEnd"/>
      <w:r w:rsidRPr="00004378">
        <w:t xml:space="preserve"> S, Villalobos-Vega R, Cleverly J, </w:t>
      </w:r>
      <w:proofErr w:type="spellStart"/>
      <w:r w:rsidRPr="00004378">
        <w:t>Huete</w:t>
      </w:r>
      <w:proofErr w:type="spellEnd"/>
      <w:r w:rsidRPr="00004378">
        <w:t xml:space="preserve"> A. 2015</w:t>
      </w:r>
      <w:r w:rsidR="008C338D">
        <w:t>a</w:t>
      </w:r>
      <w:r w:rsidRPr="00004378">
        <w:t xml:space="preserve">. Groundwater-dependent ecosystems: recent insights from satellite and field-based studies. </w:t>
      </w:r>
      <w:r w:rsidRPr="00004378">
        <w:rPr>
          <w:i/>
        </w:rPr>
        <w:t>Hydrology and Earth System Sciences</w:t>
      </w:r>
      <w:r w:rsidRPr="00004378">
        <w:t xml:space="preserve">, </w:t>
      </w:r>
      <w:r w:rsidRPr="00004378">
        <w:rPr>
          <w:b/>
        </w:rPr>
        <w:t>19</w:t>
      </w:r>
      <w:r w:rsidR="007601FF">
        <w:rPr>
          <w:b/>
        </w:rPr>
        <w:t>,</w:t>
      </w:r>
      <w:r w:rsidRPr="00004378">
        <w:t xml:space="preserve"> 4229-4246</w:t>
      </w:r>
      <w:r w:rsidR="007601FF">
        <w:t>.</w:t>
      </w:r>
    </w:p>
    <w:p w14:paraId="31C8BD93" w14:textId="77777777" w:rsidR="008C338D" w:rsidRDefault="008C338D" w:rsidP="004575C3">
      <w:pPr>
        <w:pStyle w:val="Reference"/>
      </w:pPr>
      <w:proofErr w:type="spellStart"/>
      <w:r>
        <w:t>Eamus</w:t>
      </w:r>
      <w:proofErr w:type="spellEnd"/>
      <w:r>
        <w:t xml:space="preserve"> D, </w:t>
      </w:r>
      <w:proofErr w:type="spellStart"/>
      <w:r>
        <w:t>Zolfaghar</w:t>
      </w:r>
      <w:proofErr w:type="spellEnd"/>
      <w:r>
        <w:t xml:space="preserve"> S, Villalobos-Vega R, Cleverly J, </w:t>
      </w:r>
      <w:proofErr w:type="spellStart"/>
      <w:r>
        <w:t>Huete</w:t>
      </w:r>
      <w:proofErr w:type="spellEnd"/>
      <w:r>
        <w:t xml:space="preserve"> A. 2015b. Groundwater-dependent ecosystems: recent insights, new techniques and an ecosystem-scale threshold response. </w:t>
      </w:r>
      <w:r w:rsidRPr="008C338D">
        <w:rPr>
          <w:i/>
        </w:rPr>
        <w:t>Hydrology and Earth Systems Science Sciences Discussions</w:t>
      </w:r>
      <w:r>
        <w:t xml:space="preserve">, </w:t>
      </w:r>
      <w:r w:rsidRPr="008C338D">
        <w:rPr>
          <w:b/>
        </w:rPr>
        <w:t>12</w:t>
      </w:r>
      <w:r w:rsidR="007601FF">
        <w:t>,</w:t>
      </w:r>
      <w:r>
        <w:t xml:space="preserve"> 4677-4754.</w:t>
      </w:r>
    </w:p>
    <w:p w14:paraId="31C8BD94" w14:textId="77777777" w:rsidR="00AD7B85" w:rsidRDefault="00AD7B85" w:rsidP="00AD7B85">
      <w:pPr>
        <w:pStyle w:val="Reference"/>
      </w:pPr>
      <w:r>
        <w:t xml:space="preserve">Environmental Protection Authority (EPA). 2018. Evaluating the Environmental Condition of </w:t>
      </w:r>
      <w:proofErr w:type="spellStart"/>
      <w:r>
        <w:t>Weeli</w:t>
      </w:r>
      <w:proofErr w:type="spellEnd"/>
      <w:r>
        <w:t xml:space="preserve"> Wolli Creek: Supporting technical report, Environmental Protection Authority, Perth, WA. </w:t>
      </w:r>
      <w:hyperlink r:id="rId96" w:history="1">
        <w:r>
          <w:rPr>
            <w:rStyle w:val="Hyperlink"/>
          </w:rPr>
          <w:t>Report Link</w:t>
        </w:r>
      </w:hyperlink>
      <w:r>
        <w:t>.</w:t>
      </w:r>
    </w:p>
    <w:p w14:paraId="31C8BD95" w14:textId="05D6DD79" w:rsidR="00CE4A24" w:rsidRPr="00873B87" w:rsidRDefault="00AD7B85" w:rsidP="00156AB1">
      <w:pPr>
        <w:pStyle w:val="Reference"/>
        <w:rPr>
          <w:rStyle w:val="normaltextrun"/>
        </w:rPr>
      </w:pPr>
      <w:r>
        <w:t>E</w:t>
      </w:r>
      <w:r w:rsidR="001573D6">
        <w:t>PBC. 1999</w:t>
      </w:r>
      <w:r w:rsidR="00CE4A24" w:rsidRPr="00873B87">
        <w:t>. Environment Protection and Biodiversity Conservation.</w:t>
      </w:r>
      <w:r w:rsidR="00CE4A24" w:rsidRPr="00873B87">
        <w:rPr>
          <w:rStyle w:val="normaltextrun"/>
        </w:rPr>
        <w:t xml:space="preserve"> Commonwealth of Australia. </w:t>
      </w:r>
      <w:hyperlink r:id="rId97" w:history="1">
        <w:r w:rsidR="007601FF">
          <w:rPr>
            <w:rStyle w:val="Hyperlink"/>
          </w:rPr>
          <w:t>Report Link</w:t>
        </w:r>
      </w:hyperlink>
      <w:r w:rsidR="007601FF">
        <w:rPr>
          <w:rStyle w:val="Hyperlink"/>
        </w:rPr>
        <w:t>.</w:t>
      </w:r>
    </w:p>
    <w:p w14:paraId="31C8BD96" w14:textId="77777777" w:rsidR="00873B87" w:rsidRDefault="00873B87" w:rsidP="00156AB1">
      <w:pPr>
        <w:pStyle w:val="Reference"/>
        <w:rPr>
          <w:rStyle w:val="normaltextrun"/>
        </w:rPr>
      </w:pPr>
      <w:r w:rsidRPr="00873B87">
        <w:rPr>
          <w:rStyle w:val="normaltextrun"/>
        </w:rPr>
        <w:t xml:space="preserve">Evans RS, Cook PG, Howe P, Clifton CA, Irvine E. 2013. A toolbox for assessing the ecological water requirements of </w:t>
      </w:r>
      <w:r w:rsidR="004F60BB">
        <w:rPr>
          <w:rStyle w:val="normaltextrun"/>
        </w:rPr>
        <w:t>groundwater-dependent</w:t>
      </w:r>
      <w:r w:rsidRPr="00873B87">
        <w:rPr>
          <w:rStyle w:val="normaltextrun"/>
        </w:rPr>
        <w:t xml:space="preserve"> ecosystems in Aust</w:t>
      </w:r>
      <w:r w:rsidR="00A603DA">
        <w:rPr>
          <w:rStyle w:val="normaltextrun"/>
        </w:rPr>
        <w:t xml:space="preserve">ralia. In: </w:t>
      </w:r>
      <w:r w:rsidRPr="00873B87">
        <w:rPr>
          <w:rStyle w:val="normaltextrun"/>
        </w:rPr>
        <w:t>Groundwater and Ecosystems</w:t>
      </w:r>
      <w:r w:rsidR="00A603DA">
        <w:rPr>
          <w:rStyle w:val="normaltextrun"/>
        </w:rPr>
        <w:t xml:space="preserve">, </w:t>
      </w:r>
      <w:proofErr w:type="spellStart"/>
      <w:r w:rsidRPr="00873B87">
        <w:rPr>
          <w:rStyle w:val="normaltextrun"/>
        </w:rPr>
        <w:t>Rubiero</w:t>
      </w:r>
      <w:proofErr w:type="spellEnd"/>
      <w:r w:rsidR="00A603DA">
        <w:rPr>
          <w:rStyle w:val="normaltextrun"/>
        </w:rPr>
        <w:t xml:space="preserve"> L</w:t>
      </w:r>
      <w:r w:rsidRPr="00873B87">
        <w:rPr>
          <w:rStyle w:val="normaltextrun"/>
        </w:rPr>
        <w:t xml:space="preserve">, </w:t>
      </w:r>
      <w:proofErr w:type="spellStart"/>
      <w:r w:rsidRPr="00873B87">
        <w:rPr>
          <w:rStyle w:val="normaltextrun"/>
        </w:rPr>
        <w:t>Stigter</w:t>
      </w:r>
      <w:proofErr w:type="spellEnd"/>
      <w:r w:rsidR="00A603DA">
        <w:rPr>
          <w:rStyle w:val="normaltextrun"/>
        </w:rPr>
        <w:t xml:space="preserve"> TY</w:t>
      </w:r>
      <w:r w:rsidRPr="00873B87">
        <w:rPr>
          <w:rStyle w:val="normaltextrun"/>
        </w:rPr>
        <w:t xml:space="preserve">, </w:t>
      </w:r>
      <w:proofErr w:type="spellStart"/>
      <w:r w:rsidRPr="00873B87">
        <w:rPr>
          <w:rStyle w:val="normaltextrun"/>
        </w:rPr>
        <w:t>Chamel</w:t>
      </w:r>
      <w:proofErr w:type="spellEnd"/>
      <w:r w:rsidR="00A603DA">
        <w:rPr>
          <w:rStyle w:val="normaltextrun"/>
        </w:rPr>
        <w:t xml:space="preserve"> A</w:t>
      </w:r>
      <w:r w:rsidRPr="00873B87">
        <w:rPr>
          <w:rStyle w:val="normaltextrun"/>
        </w:rPr>
        <w:t xml:space="preserve">, </w:t>
      </w:r>
      <w:proofErr w:type="spellStart"/>
      <w:r w:rsidRPr="00873B87">
        <w:rPr>
          <w:rStyle w:val="normaltextrun"/>
        </w:rPr>
        <w:t>Condesso</w:t>
      </w:r>
      <w:proofErr w:type="spellEnd"/>
      <w:r w:rsidRPr="00873B87">
        <w:rPr>
          <w:rStyle w:val="normaltextrun"/>
        </w:rPr>
        <w:t xml:space="preserve"> de </w:t>
      </w:r>
      <w:proofErr w:type="spellStart"/>
      <w:r w:rsidRPr="00873B87">
        <w:rPr>
          <w:rStyle w:val="normaltextrun"/>
        </w:rPr>
        <w:t>Melo</w:t>
      </w:r>
      <w:proofErr w:type="spellEnd"/>
      <w:r w:rsidR="00A603DA">
        <w:rPr>
          <w:rStyle w:val="normaltextrun"/>
        </w:rPr>
        <w:t xml:space="preserve"> MT</w:t>
      </w:r>
      <w:r w:rsidRPr="00873B87">
        <w:rPr>
          <w:rStyle w:val="normaltextrun"/>
        </w:rPr>
        <w:t>, Monteiro</w:t>
      </w:r>
      <w:r w:rsidR="00A603DA">
        <w:rPr>
          <w:rStyle w:val="normaltextrun"/>
        </w:rPr>
        <w:t xml:space="preserve"> JP</w:t>
      </w:r>
      <w:r w:rsidRPr="00873B87">
        <w:rPr>
          <w:rStyle w:val="normaltextrun"/>
        </w:rPr>
        <w:t>, Medeiros</w:t>
      </w:r>
      <w:r w:rsidR="00A603DA">
        <w:rPr>
          <w:rStyle w:val="normaltextrun"/>
        </w:rPr>
        <w:t xml:space="preserve"> A</w:t>
      </w:r>
      <w:r w:rsidR="002D2F7F">
        <w:rPr>
          <w:rStyle w:val="normaltextrun"/>
        </w:rPr>
        <w:t>.</w:t>
      </w:r>
      <w:r w:rsidR="00A603DA">
        <w:rPr>
          <w:rStyle w:val="normaltextrun"/>
        </w:rPr>
        <w:t xml:space="preserve"> (</w:t>
      </w:r>
      <w:proofErr w:type="spellStart"/>
      <w:r w:rsidR="00A603DA">
        <w:rPr>
          <w:rStyle w:val="normaltextrun"/>
        </w:rPr>
        <w:t>eds</w:t>
      </w:r>
      <w:proofErr w:type="spellEnd"/>
      <w:r w:rsidRPr="00873B87">
        <w:rPr>
          <w:rStyle w:val="normaltextrun"/>
        </w:rPr>
        <w:t>). International Association of Hydrogeologists. CRC Press, pp 1-8.</w:t>
      </w:r>
    </w:p>
    <w:p w14:paraId="31C8BD97" w14:textId="77777777" w:rsidR="008C338D" w:rsidRPr="004575C3" w:rsidRDefault="008C338D" w:rsidP="004575C3">
      <w:pPr>
        <w:pStyle w:val="Reference"/>
        <w:rPr>
          <w:rStyle w:val="normaltextrun"/>
        </w:rPr>
      </w:pPr>
      <w:proofErr w:type="spellStart"/>
      <w:r w:rsidRPr="004575C3">
        <w:rPr>
          <w:rStyle w:val="normaltextrun"/>
        </w:rPr>
        <w:t>Froend</w:t>
      </w:r>
      <w:proofErr w:type="spellEnd"/>
      <w:r w:rsidRPr="004575C3">
        <w:rPr>
          <w:rStyle w:val="normaltextrun"/>
        </w:rPr>
        <w:t xml:space="preserve"> RH, Drake PL</w:t>
      </w:r>
      <w:r>
        <w:rPr>
          <w:rStyle w:val="normaltextrun"/>
        </w:rPr>
        <w:t>.</w:t>
      </w:r>
      <w:r w:rsidRPr="004575C3">
        <w:rPr>
          <w:rStyle w:val="normaltextrun"/>
        </w:rPr>
        <w:t xml:space="preserve"> 2006. Defining </w:t>
      </w:r>
      <w:proofErr w:type="spellStart"/>
      <w:r w:rsidRPr="004575C3">
        <w:rPr>
          <w:rStyle w:val="normaltextrun"/>
        </w:rPr>
        <w:t>phreatophyte</w:t>
      </w:r>
      <w:proofErr w:type="spellEnd"/>
      <w:r w:rsidRPr="004575C3">
        <w:rPr>
          <w:rStyle w:val="normaltextrun"/>
        </w:rPr>
        <w:t xml:space="preserve"> response to reduced water availability: preliminary investigations on the use of xylem cavitation vulnerability in Banksia woodland species. </w:t>
      </w:r>
      <w:r w:rsidRPr="00FC5E3F">
        <w:rPr>
          <w:rStyle w:val="normaltextrun"/>
          <w:i/>
        </w:rPr>
        <w:t>Australian Journal of Botany</w:t>
      </w:r>
      <w:r w:rsidRPr="004575C3">
        <w:rPr>
          <w:rStyle w:val="normaltextrun"/>
        </w:rPr>
        <w:t>,</w:t>
      </w:r>
      <w:r w:rsidRPr="004575C3">
        <w:rPr>
          <w:rStyle w:val="normaltextrun"/>
          <w:b/>
        </w:rPr>
        <w:t xml:space="preserve"> </w:t>
      </w:r>
      <w:r w:rsidR="00FC5E3F">
        <w:rPr>
          <w:rStyle w:val="normaltextrun"/>
          <w:b/>
        </w:rPr>
        <w:t>54</w:t>
      </w:r>
      <w:r w:rsidR="00FC5E3F">
        <w:rPr>
          <w:rStyle w:val="normaltextrun"/>
        </w:rPr>
        <w:t xml:space="preserve">, </w:t>
      </w:r>
      <w:r w:rsidRPr="004575C3">
        <w:rPr>
          <w:rStyle w:val="normaltextrun"/>
        </w:rPr>
        <w:t>173-179.</w:t>
      </w:r>
    </w:p>
    <w:p w14:paraId="31C8BD98" w14:textId="77777777" w:rsidR="003A2D53" w:rsidRPr="003A2D53" w:rsidRDefault="00D92F87" w:rsidP="003A2D53">
      <w:pPr>
        <w:pStyle w:val="Reference"/>
      </w:pPr>
      <w:r>
        <w:t>GHD</w:t>
      </w:r>
      <w:r w:rsidR="000E3BF2">
        <w:t>.</w:t>
      </w:r>
      <w:r>
        <w:t xml:space="preserve"> 2013. S</w:t>
      </w:r>
      <w:r w:rsidR="00AC56DF">
        <w:t xml:space="preserve">upplementary Environmental </w:t>
      </w:r>
      <w:r>
        <w:t>I</w:t>
      </w:r>
      <w:r w:rsidR="00AC56DF">
        <w:t xml:space="preserve">mpact </w:t>
      </w:r>
      <w:r>
        <w:t>S</w:t>
      </w:r>
      <w:r w:rsidR="00AC56DF">
        <w:t>tatement</w:t>
      </w:r>
      <w:r>
        <w:t xml:space="preserve"> Volume 4, Appendix Q1. Report on Carmichael Coal Mine and Rail Project Mine Technical Report: Mine Environmental Management Plan. Adani Mining Pty Ltd, Brisbane.</w:t>
      </w:r>
      <w:r w:rsidR="003A2D53">
        <w:t xml:space="preserve"> </w:t>
      </w:r>
      <w:hyperlink r:id="rId98" w:history="1">
        <w:r w:rsidR="003A2D53">
          <w:rPr>
            <w:rStyle w:val="Hyperlink"/>
          </w:rPr>
          <w:t>Report Link</w:t>
        </w:r>
      </w:hyperlink>
      <w:r w:rsidR="003A2D53">
        <w:t>.</w:t>
      </w:r>
    </w:p>
    <w:p w14:paraId="31C8BD99" w14:textId="77777777" w:rsidR="003A2D53" w:rsidRPr="000E3BF2" w:rsidRDefault="000E3BF2" w:rsidP="000E3BF2">
      <w:pPr>
        <w:pStyle w:val="BodyText"/>
        <w:ind w:left="567" w:hanging="567"/>
      </w:pPr>
      <w:r>
        <w:t xml:space="preserve">GHD. 2014. Carmichael Coal Mine and Rail Project </w:t>
      </w:r>
      <w:r w:rsidR="004F60BB">
        <w:t>Groundwater-dependent</w:t>
      </w:r>
      <w:r>
        <w:t xml:space="preserve"> Ecosystem Management Plan. A Report for Adani Mining Pty Ltd.</w:t>
      </w:r>
      <w:r w:rsidR="003A2D53">
        <w:t xml:space="preserve"> </w:t>
      </w:r>
      <w:hyperlink r:id="rId99" w:history="1">
        <w:r w:rsidR="003A2D53">
          <w:rPr>
            <w:rStyle w:val="Hyperlink"/>
          </w:rPr>
          <w:t>Report Link</w:t>
        </w:r>
      </w:hyperlink>
      <w:r w:rsidR="003A2D53">
        <w:t>.</w:t>
      </w:r>
    </w:p>
    <w:p w14:paraId="31C8BD9A" w14:textId="77777777" w:rsidR="00156AB1" w:rsidRDefault="00156AB1" w:rsidP="00156AB1">
      <w:pPr>
        <w:spacing w:before="120" w:line="264" w:lineRule="auto"/>
        <w:ind w:left="567" w:hanging="567"/>
        <w:rPr>
          <w:rFonts w:asciiTheme="minorHAnsi" w:hAnsiTheme="minorHAnsi" w:cs="Arial"/>
        </w:rPr>
      </w:pPr>
      <w:r w:rsidRPr="008860A2">
        <w:rPr>
          <w:rFonts w:asciiTheme="minorHAnsi" w:hAnsiTheme="minorHAnsi" w:cs="Arial"/>
        </w:rPr>
        <w:t xml:space="preserve">Glanville K, Schultz C, Tomlinson M, Butler D. 2016. Biodiversity and biogeography of groundwater invertebrates in Queensland, Australia. </w:t>
      </w:r>
      <w:r w:rsidRPr="008860A2">
        <w:rPr>
          <w:rFonts w:asciiTheme="minorHAnsi" w:hAnsiTheme="minorHAnsi" w:cs="Arial"/>
          <w:i/>
        </w:rPr>
        <w:t>Subterranean Biology</w:t>
      </w:r>
      <w:r w:rsidRPr="008860A2">
        <w:rPr>
          <w:rFonts w:asciiTheme="minorHAnsi" w:hAnsiTheme="minorHAnsi" w:cs="Arial"/>
        </w:rPr>
        <w:t xml:space="preserve">, </w:t>
      </w:r>
      <w:r w:rsidRPr="008860A2">
        <w:rPr>
          <w:rFonts w:asciiTheme="minorHAnsi" w:hAnsiTheme="minorHAnsi" w:cs="Arial"/>
          <w:b/>
        </w:rPr>
        <w:t>17</w:t>
      </w:r>
      <w:r w:rsidR="003A2D53">
        <w:rPr>
          <w:rFonts w:asciiTheme="minorHAnsi" w:hAnsiTheme="minorHAnsi" w:cs="Arial"/>
          <w:b/>
        </w:rPr>
        <w:t>,</w:t>
      </w:r>
      <w:r w:rsidRPr="00156AB1">
        <w:rPr>
          <w:rFonts w:asciiTheme="minorHAnsi" w:hAnsiTheme="minorHAnsi" w:cs="Arial"/>
        </w:rPr>
        <w:t xml:space="preserve"> </w:t>
      </w:r>
      <w:r w:rsidRPr="008860A2">
        <w:rPr>
          <w:rFonts w:asciiTheme="minorHAnsi" w:hAnsiTheme="minorHAnsi" w:cs="Arial"/>
        </w:rPr>
        <w:t>55-76.</w:t>
      </w:r>
    </w:p>
    <w:p w14:paraId="31C8BD9B" w14:textId="77777777" w:rsidR="00D56113" w:rsidRPr="00D56113" w:rsidRDefault="00D56113" w:rsidP="00D56113">
      <w:pPr>
        <w:autoSpaceDE w:val="0"/>
        <w:autoSpaceDN w:val="0"/>
        <w:adjustRightInd w:val="0"/>
        <w:spacing w:before="120" w:line="264" w:lineRule="auto"/>
        <w:ind w:left="567" w:hanging="567"/>
        <w:rPr>
          <w:rFonts w:asciiTheme="minorHAnsi" w:hAnsiTheme="minorHAnsi" w:cs="Arial"/>
        </w:rPr>
      </w:pPr>
      <w:proofErr w:type="spellStart"/>
      <w:r w:rsidRPr="00D56113">
        <w:rPr>
          <w:rFonts w:asciiTheme="minorHAnsi" w:eastAsiaTheme="minorHAnsi" w:hAnsiTheme="minorHAnsi" w:cs="MinionPro-Regular"/>
          <w:color w:val="auto"/>
        </w:rPr>
        <w:t>Gorički</w:t>
      </w:r>
      <w:proofErr w:type="spellEnd"/>
      <w:r w:rsidRPr="00D56113">
        <w:rPr>
          <w:rFonts w:asciiTheme="minorHAnsi" w:eastAsiaTheme="minorHAnsi" w:hAnsiTheme="minorHAnsi" w:cs="MinionPro-Regular"/>
          <w:color w:val="auto"/>
        </w:rPr>
        <w:t xml:space="preserve"> </w:t>
      </w:r>
      <w:r>
        <w:rPr>
          <w:rFonts w:asciiTheme="minorHAnsi" w:eastAsiaTheme="minorHAnsi" w:hAnsiTheme="minorHAnsi" w:cs="MinionPro-Regular"/>
          <w:color w:val="auto"/>
        </w:rPr>
        <w:t xml:space="preserve">Š, </w:t>
      </w:r>
      <w:proofErr w:type="spellStart"/>
      <w:r>
        <w:rPr>
          <w:rFonts w:asciiTheme="minorHAnsi" w:eastAsiaTheme="minorHAnsi" w:hAnsiTheme="minorHAnsi" w:cs="MinionPro-Regular"/>
          <w:color w:val="auto"/>
        </w:rPr>
        <w:t>Stankovic</w:t>
      </w:r>
      <w:proofErr w:type="spellEnd"/>
      <w:r>
        <w:rPr>
          <w:rFonts w:asciiTheme="minorHAnsi" w:eastAsiaTheme="minorHAnsi" w:hAnsiTheme="minorHAnsi" w:cs="MinionPro-Regular"/>
          <w:color w:val="auto"/>
        </w:rPr>
        <w:t xml:space="preserve"> D, </w:t>
      </w:r>
      <w:proofErr w:type="spellStart"/>
      <w:r>
        <w:rPr>
          <w:rFonts w:asciiTheme="minorHAnsi" w:eastAsiaTheme="minorHAnsi" w:hAnsiTheme="minorHAnsi" w:cs="MinionPro-Regular"/>
          <w:color w:val="auto"/>
        </w:rPr>
        <w:t>Snoj</w:t>
      </w:r>
      <w:proofErr w:type="spellEnd"/>
      <w:r>
        <w:rPr>
          <w:rFonts w:asciiTheme="minorHAnsi" w:eastAsiaTheme="minorHAnsi" w:hAnsiTheme="minorHAnsi" w:cs="MinionPro-Regular"/>
          <w:color w:val="auto"/>
        </w:rPr>
        <w:t xml:space="preserve"> A, </w:t>
      </w:r>
      <w:proofErr w:type="spellStart"/>
      <w:r>
        <w:rPr>
          <w:rFonts w:asciiTheme="minorHAnsi" w:eastAsiaTheme="minorHAnsi" w:hAnsiTheme="minorHAnsi" w:cs="MinionPro-Regular"/>
          <w:color w:val="auto"/>
        </w:rPr>
        <w:t>Kuntner</w:t>
      </w:r>
      <w:proofErr w:type="spellEnd"/>
      <w:r>
        <w:rPr>
          <w:rFonts w:asciiTheme="minorHAnsi" w:eastAsiaTheme="minorHAnsi" w:hAnsiTheme="minorHAnsi" w:cs="MinionPro-Regular"/>
          <w:color w:val="auto"/>
        </w:rPr>
        <w:t xml:space="preserve"> M, Jeffrey WR, </w:t>
      </w:r>
      <w:proofErr w:type="spellStart"/>
      <w:r>
        <w:rPr>
          <w:rFonts w:asciiTheme="minorHAnsi" w:eastAsiaTheme="minorHAnsi" w:hAnsiTheme="minorHAnsi" w:cs="MinionPro-Regular"/>
          <w:color w:val="auto"/>
        </w:rPr>
        <w:t>Trontelj</w:t>
      </w:r>
      <w:proofErr w:type="spellEnd"/>
      <w:r>
        <w:rPr>
          <w:rFonts w:asciiTheme="minorHAnsi" w:eastAsiaTheme="minorHAnsi" w:hAnsiTheme="minorHAnsi" w:cs="MinionPro-Regular"/>
          <w:color w:val="auto"/>
        </w:rPr>
        <w:t xml:space="preserve"> P</w:t>
      </w:r>
      <w:r w:rsidRPr="00D56113">
        <w:rPr>
          <w:rFonts w:asciiTheme="minorHAnsi" w:eastAsiaTheme="minorHAnsi" w:hAnsiTheme="minorHAnsi" w:cs="MinionPro-Regular"/>
          <w:color w:val="auto"/>
        </w:rPr>
        <w:t xml:space="preserve">, </w:t>
      </w:r>
      <w:proofErr w:type="spellStart"/>
      <w:r w:rsidRPr="00D56113">
        <w:rPr>
          <w:rFonts w:asciiTheme="minorHAnsi" w:eastAsiaTheme="minorHAnsi" w:hAnsiTheme="minorHAnsi" w:cs="Corbel-Bold"/>
          <w:bCs/>
          <w:color w:val="auto"/>
        </w:rPr>
        <w:t>Pavićević</w:t>
      </w:r>
      <w:proofErr w:type="spellEnd"/>
      <w:r>
        <w:rPr>
          <w:rFonts w:asciiTheme="minorHAnsi" w:eastAsiaTheme="minorHAnsi" w:hAnsiTheme="minorHAnsi" w:cs="MinionPro-Regular"/>
          <w:color w:val="auto"/>
        </w:rPr>
        <w:t xml:space="preserve"> M, </w:t>
      </w:r>
      <w:proofErr w:type="spellStart"/>
      <w:r>
        <w:rPr>
          <w:rFonts w:asciiTheme="minorHAnsi" w:eastAsiaTheme="minorHAnsi" w:hAnsiTheme="minorHAnsi" w:cs="MinionPro-Regular"/>
          <w:color w:val="auto"/>
        </w:rPr>
        <w:t>Grizelj</w:t>
      </w:r>
      <w:proofErr w:type="spellEnd"/>
      <w:r>
        <w:rPr>
          <w:rFonts w:asciiTheme="minorHAnsi" w:eastAsiaTheme="minorHAnsi" w:hAnsiTheme="minorHAnsi" w:cs="MinionPro-Regular"/>
          <w:color w:val="auto"/>
        </w:rPr>
        <w:t xml:space="preserve"> </w:t>
      </w:r>
      <w:r w:rsidRPr="00D56113">
        <w:rPr>
          <w:rFonts w:asciiTheme="minorHAnsi" w:eastAsiaTheme="minorHAnsi" w:hAnsiTheme="minorHAnsi" w:cs="MinionPro-Regular"/>
          <w:color w:val="auto"/>
        </w:rPr>
        <w:t xml:space="preserve">Z,  </w:t>
      </w:r>
      <w:proofErr w:type="spellStart"/>
      <w:r w:rsidRPr="00D56113">
        <w:rPr>
          <w:rFonts w:asciiTheme="minorHAnsi" w:eastAsiaTheme="minorHAnsi" w:hAnsiTheme="minorHAnsi" w:cs="Corbel-Bold"/>
          <w:bCs/>
          <w:color w:val="auto"/>
        </w:rPr>
        <w:t>Năpăruş-Aljančič</w:t>
      </w:r>
      <w:proofErr w:type="spellEnd"/>
      <w:r w:rsidRPr="00D56113">
        <w:rPr>
          <w:rFonts w:asciiTheme="minorHAnsi" w:eastAsiaTheme="minorHAnsi" w:hAnsiTheme="minorHAnsi" w:cs="Corbel-Bold"/>
          <w:bCs/>
          <w:color w:val="auto"/>
        </w:rPr>
        <w:t xml:space="preserve"> M, </w:t>
      </w:r>
      <w:proofErr w:type="spellStart"/>
      <w:r w:rsidRPr="00D56113">
        <w:rPr>
          <w:rFonts w:asciiTheme="minorHAnsi" w:eastAsiaTheme="minorHAnsi" w:hAnsiTheme="minorHAnsi" w:cs="Corbel-Bold"/>
          <w:bCs/>
          <w:color w:val="auto"/>
        </w:rPr>
        <w:t>Aljančič</w:t>
      </w:r>
      <w:proofErr w:type="spellEnd"/>
      <w:r w:rsidRPr="00D56113">
        <w:rPr>
          <w:rFonts w:asciiTheme="minorHAnsi" w:eastAsiaTheme="minorHAnsi" w:hAnsiTheme="minorHAnsi" w:cs="Corbel-Bold"/>
          <w:bCs/>
          <w:color w:val="auto"/>
        </w:rPr>
        <w:t xml:space="preserve"> G. </w:t>
      </w:r>
      <w:r w:rsidRPr="00D56113">
        <w:rPr>
          <w:rFonts w:asciiTheme="minorHAnsi" w:eastAsiaTheme="minorHAnsi" w:hAnsiTheme="minorHAnsi" w:cs="MinionPro-Regular"/>
          <w:color w:val="auto"/>
        </w:rPr>
        <w:t>2017.</w:t>
      </w:r>
      <w:r w:rsidRPr="00D56113">
        <w:rPr>
          <w:rFonts w:asciiTheme="minorHAnsi" w:eastAsiaTheme="minorHAnsi" w:hAnsiTheme="minorHAnsi" w:cs="MinionPro-It"/>
          <w:i/>
          <w:iCs/>
          <w:color w:val="auto"/>
        </w:rPr>
        <w:t xml:space="preserve"> </w:t>
      </w:r>
      <w:r w:rsidRPr="00D56113">
        <w:rPr>
          <w:rFonts w:asciiTheme="minorHAnsi" w:eastAsiaTheme="minorHAnsi" w:hAnsiTheme="minorHAnsi" w:cs="MinionPro-Regular"/>
          <w:color w:val="auto"/>
        </w:rPr>
        <w:t xml:space="preserve">Environmental DNA in subterranean biology: range extension and </w:t>
      </w:r>
      <w:r>
        <w:rPr>
          <w:rFonts w:asciiTheme="minorHAnsi" w:eastAsiaTheme="minorHAnsi" w:hAnsiTheme="minorHAnsi" w:cs="MinionPro-Regular"/>
          <w:color w:val="auto"/>
        </w:rPr>
        <w:t>taxonomic i</w:t>
      </w:r>
      <w:r w:rsidRPr="00D56113">
        <w:rPr>
          <w:rFonts w:asciiTheme="minorHAnsi" w:eastAsiaTheme="minorHAnsi" w:hAnsiTheme="minorHAnsi" w:cs="MinionPro-Regular"/>
          <w:color w:val="auto"/>
        </w:rPr>
        <w:t xml:space="preserve">mplications for </w:t>
      </w:r>
      <w:r w:rsidRPr="00D56113">
        <w:rPr>
          <w:rFonts w:asciiTheme="minorHAnsi" w:eastAsiaTheme="minorHAnsi" w:hAnsiTheme="minorHAnsi" w:cs="MinionPro-It"/>
          <w:i/>
          <w:iCs/>
          <w:color w:val="auto"/>
        </w:rPr>
        <w:t>Proteus</w:t>
      </w:r>
      <w:r w:rsidRPr="00D56113">
        <w:rPr>
          <w:rFonts w:asciiTheme="minorHAnsi" w:eastAsiaTheme="minorHAnsi" w:hAnsiTheme="minorHAnsi" w:cs="MinionPro-Regular"/>
          <w:color w:val="auto"/>
        </w:rPr>
        <w:t xml:space="preserve">. </w:t>
      </w:r>
      <w:r w:rsidRPr="00D56113">
        <w:rPr>
          <w:rFonts w:asciiTheme="minorHAnsi" w:eastAsiaTheme="minorHAnsi" w:hAnsiTheme="minorHAnsi" w:cs="MinionPro-Regular"/>
          <w:i/>
          <w:color w:val="auto"/>
        </w:rPr>
        <w:t xml:space="preserve">Nature </w:t>
      </w:r>
      <w:r w:rsidRPr="00D56113">
        <w:rPr>
          <w:rFonts w:asciiTheme="minorHAnsi" w:eastAsiaTheme="minorHAnsi" w:hAnsiTheme="minorHAnsi" w:cs="MinionPro-It"/>
          <w:i/>
          <w:iCs/>
          <w:color w:val="auto"/>
        </w:rPr>
        <w:t>Sci</w:t>
      </w:r>
      <w:r>
        <w:rPr>
          <w:rFonts w:asciiTheme="minorHAnsi" w:eastAsiaTheme="minorHAnsi" w:hAnsiTheme="minorHAnsi" w:cs="MinionPro-It"/>
          <w:i/>
          <w:iCs/>
          <w:color w:val="auto"/>
        </w:rPr>
        <w:t>entific</w:t>
      </w:r>
      <w:r w:rsidRPr="00D56113">
        <w:rPr>
          <w:rFonts w:asciiTheme="minorHAnsi" w:eastAsiaTheme="minorHAnsi" w:hAnsiTheme="minorHAnsi" w:cs="MinionPro-It"/>
          <w:i/>
          <w:iCs/>
          <w:color w:val="auto"/>
        </w:rPr>
        <w:t xml:space="preserve"> Rep</w:t>
      </w:r>
      <w:r>
        <w:rPr>
          <w:rFonts w:asciiTheme="minorHAnsi" w:eastAsiaTheme="minorHAnsi" w:hAnsiTheme="minorHAnsi" w:cs="MinionPro-It"/>
          <w:i/>
          <w:iCs/>
          <w:color w:val="auto"/>
        </w:rPr>
        <w:t>orts</w:t>
      </w:r>
      <w:r w:rsidRPr="00D56113">
        <w:rPr>
          <w:rFonts w:asciiTheme="minorHAnsi" w:eastAsiaTheme="minorHAnsi" w:hAnsiTheme="minorHAnsi" w:cs="MinionPro-It"/>
          <w:i/>
          <w:iCs/>
          <w:color w:val="auto"/>
        </w:rPr>
        <w:t xml:space="preserve">. </w:t>
      </w:r>
      <w:r w:rsidRPr="00D56113">
        <w:rPr>
          <w:rFonts w:asciiTheme="minorHAnsi" w:eastAsiaTheme="minorHAnsi" w:hAnsiTheme="minorHAnsi" w:cs="MinionPro-Bold"/>
          <w:b/>
          <w:bCs/>
          <w:color w:val="auto"/>
        </w:rPr>
        <w:t>7</w:t>
      </w:r>
      <w:r w:rsidRPr="00D56113">
        <w:rPr>
          <w:rFonts w:asciiTheme="minorHAnsi" w:eastAsiaTheme="minorHAnsi" w:hAnsiTheme="minorHAnsi" w:cs="MinionPro-Regular"/>
          <w:color w:val="auto"/>
        </w:rPr>
        <w:t xml:space="preserve">, 45054; </w:t>
      </w:r>
      <w:proofErr w:type="spellStart"/>
      <w:r w:rsidRPr="00D56113">
        <w:rPr>
          <w:rFonts w:asciiTheme="minorHAnsi" w:eastAsiaTheme="minorHAnsi" w:hAnsiTheme="minorHAnsi" w:cs="MinionPro-Regular"/>
          <w:color w:val="auto"/>
        </w:rPr>
        <w:t>doi</w:t>
      </w:r>
      <w:proofErr w:type="spellEnd"/>
      <w:r w:rsidRPr="00D56113">
        <w:rPr>
          <w:rFonts w:asciiTheme="minorHAnsi" w:eastAsiaTheme="minorHAnsi" w:hAnsiTheme="minorHAnsi" w:cs="MinionPro-Regular"/>
          <w:color w:val="auto"/>
        </w:rPr>
        <w:t>: 10.1038/srep45054</w:t>
      </w:r>
    </w:p>
    <w:p w14:paraId="31C8BD9C" w14:textId="77777777" w:rsidR="008C338D" w:rsidRPr="004575C3" w:rsidRDefault="008C338D" w:rsidP="004575C3">
      <w:pPr>
        <w:spacing w:before="120" w:line="264" w:lineRule="auto"/>
        <w:ind w:left="567" w:hanging="567"/>
        <w:rPr>
          <w:rFonts w:asciiTheme="minorHAnsi" w:hAnsiTheme="minorHAnsi" w:cs="Arial"/>
        </w:rPr>
      </w:pPr>
      <w:r w:rsidRPr="004575C3">
        <w:rPr>
          <w:rFonts w:asciiTheme="minorHAnsi" w:hAnsiTheme="minorHAnsi" w:cs="Arial"/>
        </w:rPr>
        <w:t xml:space="preserve">Groom BP, </w:t>
      </w:r>
      <w:proofErr w:type="spellStart"/>
      <w:r w:rsidRPr="004575C3">
        <w:rPr>
          <w:rFonts w:asciiTheme="minorHAnsi" w:hAnsiTheme="minorHAnsi" w:cs="Arial"/>
        </w:rPr>
        <w:t>Froend</w:t>
      </w:r>
      <w:proofErr w:type="spellEnd"/>
      <w:r w:rsidRPr="004575C3">
        <w:rPr>
          <w:rFonts w:asciiTheme="minorHAnsi" w:hAnsiTheme="minorHAnsi" w:cs="Arial"/>
        </w:rPr>
        <w:t xml:space="preserve"> RH, </w:t>
      </w:r>
      <w:proofErr w:type="spellStart"/>
      <w:r w:rsidRPr="004575C3">
        <w:rPr>
          <w:rFonts w:asciiTheme="minorHAnsi" w:hAnsiTheme="minorHAnsi" w:cs="Arial"/>
        </w:rPr>
        <w:t>Mattiske</w:t>
      </w:r>
      <w:proofErr w:type="spellEnd"/>
      <w:r w:rsidRPr="004575C3">
        <w:rPr>
          <w:rFonts w:asciiTheme="minorHAnsi" w:hAnsiTheme="minorHAnsi" w:cs="Arial"/>
        </w:rPr>
        <w:t xml:space="preserve"> EM</w:t>
      </w:r>
      <w:r>
        <w:rPr>
          <w:rFonts w:asciiTheme="minorHAnsi" w:hAnsiTheme="minorHAnsi" w:cs="Arial"/>
        </w:rPr>
        <w:t>.</w:t>
      </w:r>
      <w:r w:rsidRPr="004575C3">
        <w:rPr>
          <w:rFonts w:asciiTheme="minorHAnsi" w:hAnsiTheme="minorHAnsi" w:cs="Arial"/>
        </w:rPr>
        <w:t xml:space="preserve"> 2000. Impact of groundwater abstraction on Banksia woodland, Swan Coastal Plain, Western Australia. </w:t>
      </w:r>
      <w:r w:rsidRPr="004575C3">
        <w:rPr>
          <w:rFonts w:asciiTheme="minorHAnsi" w:hAnsiTheme="minorHAnsi" w:cs="Arial"/>
          <w:i/>
        </w:rPr>
        <w:t>Ecological Management &amp; Restoration</w:t>
      </w:r>
      <w:r w:rsidRPr="004575C3">
        <w:rPr>
          <w:rFonts w:asciiTheme="minorHAnsi" w:hAnsiTheme="minorHAnsi" w:cs="Arial"/>
        </w:rPr>
        <w:t xml:space="preserve">, </w:t>
      </w:r>
      <w:r w:rsidRPr="004575C3">
        <w:rPr>
          <w:rFonts w:asciiTheme="minorHAnsi" w:hAnsiTheme="minorHAnsi" w:cs="Arial"/>
          <w:b/>
        </w:rPr>
        <w:t>1</w:t>
      </w:r>
      <w:r w:rsidR="008437C9">
        <w:rPr>
          <w:rFonts w:asciiTheme="minorHAnsi" w:hAnsiTheme="minorHAnsi" w:cs="Arial"/>
        </w:rPr>
        <w:t>,</w:t>
      </w:r>
      <w:r w:rsidRPr="004575C3">
        <w:rPr>
          <w:rFonts w:asciiTheme="minorHAnsi" w:hAnsiTheme="minorHAnsi" w:cs="Arial"/>
        </w:rPr>
        <w:t xml:space="preserve"> 117-124.</w:t>
      </w:r>
    </w:p>
    <w:p w14:paraId="31C8BD9D" w14:textId="77777777" w:rsidR="00156AB1" w:rsidRDefault="00156AB1" w:rsidP="00156AB1">
      <w:pPr>
        <w:autoSpaceDE w:val="0"/>
        <w:autoSpaceDN w:val="0"/>
        <w:adjustRightInd w:val="0"/>
        <w:spacing w:before="120" w:line="264" w:lineRule="auto"/>
        <w:ind w:left="567" w:hanging="567"/>
        <w:rPr>
          <w:rFonts w:asciiTheme="minorHAnsi" w:hAnsiTheme="minorHAnsi" w:cs="Arial"/>
        </w:rPr>
      </w:pPr>
      <w:r w:rsidRPr="008860A2">
        <w:rPr>
          <w:rFonts w:asciiTheme="minorHAnsi" w:hAnsiTheme="minorHAnsi" w:cs="Arial"/>
        </w:rPr>
        <w:t xml:space="preserve">Hahn HJ, Fuchs A. 2009. Distribution patterns of groundwater communities across aquifer types in south-western Germany. </w:t>
      </w:r>
      <w:r w:rsidRPr="008860A2">
        <w:rPr>
          <w:rFonts w:asciiTheme="minorHAnsi" w:hAnsiTheme="minorHAnsi" w:cs="Arial"/>
          <w:i/>
        </w:rPr>
        <w:t>Freshwater Biology,</w:t>
      </w:r>
      <w:r w:rsidRPr="008860A2">
        <w:rPr>
          <w:rFonts w:asciiTheme="minorHAnsi" w:hAnsiTheme="minorHAnsi" w:cs="Arial"/>
        </w:rPr>
        <w:t xml:space="preserve"> </w:t>
      </w:r>
      <w:r w:rsidRPr="008860A2">
        <w:rPr>
          <w:rFonts w:asciiTheme="minorHAnsi" w:hAnsiTheme="minorHAnsi" w:cs="Arial"/>
          <w:b/>
        </w:rPr>
        <w:t>54</w:t>
      </w:r>
      <w:r w:rsidR="008437C9">
        <w:rPr>
          <w:rFonts w:asciiTheme="minorHAnsi" w:hAnsiTheme="minorHAnsi" w:cs="Arial"/>
        </w:rPr>
        <w:t>,</w:t>
      </w:r>
      <w:r w:rsidRPr="008860A2">
        <w:rPr>
          <w:rFonts w:asciiTheme="minorHAnsi" w:hAnsiTheme="minorHAnsi" w:cs="Arial"/>
        </w:rPr>
        <w:t xml:space="preserve"> 848-860.</w:t>
      </w:r>
    </w:p>
    <w:p w14:paraId="31C8BD9E" w14:textId="77777777" w:rsidR="00683396" w:rsidRPr="00683396" w:rsidRDefault="00683396" w:rsidP="00156AB1">
      <w:pPr>
        <w:autoSpaceDE w:val="0"/>
        <w:autoSpaceDN w:val="0"/>
        <w:adjustRightInd w:val="0"/>
        <w:spacing w:before="120" w:line="264" w:lineRule="auto"/>
        <w:ind w:left="567" w:hanging="567"/>
        <w:rPr>
          <w:rFonts w:cs="Arial"/>
        </w:rPr>
      </w:pPr>
      <w:r w:rsidRPr="00683396">
        <w:rPr>
          <w:rFonts w:cs="Arial"/>
          <w:bCs/>
          <w:lang w:val="en-US"/>
        </w:rPr>
        <w:lastRenderedPageBreak/>
        <w:t>Hancock, P.</w:t>
      </w:r>
      <w:r w:rsidR="008437C9">
        <w:rPr>
          <w:rFonts w:cs="Arial"/>
          <w:lang w:val="en-US"/>
        </w:rPr>
        <w:t xml:space="preserve"> 2</w:t>
      </w:r>
      <w:r w:rsidRPr="00683396">
        <w:rPr>
          <w:rFonts w:cs="Arial"/>
          <w:lang w:val="en-US"/>
        </w:rPr>
        <w:t>002</w:t>
      </w:r>
      <w:r w:rsidR="008437C9">
        <w:rPr>
          <w:rFonts w:cs="Arial"/>
          <w:lang w:val="en-US"/>
        </w:rPr>
        <w:t>.</w:t>
      </w:r>
      <w:r w:rsidRPr="00683396">
        <w:rPr>
          <w:rFonts w:cs="Arial"/>
          <w:lang w:val="en-US"/>
        </w:rPr>
        <w:t xml:space="preserve"> Human impacts on the stream-groundwater exchange zone. </w:t>
      </w:r>
      <w:r w:rsidRPr="00683396">
        <w:rPr>
          <w:rFonts w:cs="Arial"/>
          <w:i/>
          <w:iCs/>
          <w:lang w:val="en-US"/>
        </w:rPr>
        <w:t>Environmental Management</w:t>
      </w:r>
      <w:r>
        <w:rPr>
          <w:rFonts w:cs="Arial"/>
          <w:i/>
          <w:iCs/>
          <w:lang w:val="en-US"/>
        </w:rPr>
        <w:t>,</w:t>
      </w:r>
      <w:r w:rsidRPr="00683396">
        <w:rPr>
          <w:rFonts w:cs="Arial"/>
          <w:lang w:val="en-US"/>
        </w:rPr>
        <w:t xml:space="preserve"> </w:t>
      </w:r>
      <w:r w:rsidRPr="00683396">
        <w:rPr>
          <w:rFonts w:cs="Arial"/>
          <w:b/>
          <w:bCs/>
          <w:lang w:val="en-US"/>
        </w:rPr>
        <w:t>29</w:t>
      </w:r>
      <w:r w:rsidR="008437C9" w:rsidRPr="008437C9">
        <w:rPr>
          <w:rFonts w:cs="Arial"/>
          <w:bCs/>
          <w:lang w:val="en-US"/>
        </w:rPr>
        <w:t>,</w:t>
      </w:r>
      <w:r w:rsidRPr="00683396">
        <w:rPr>
          <w:rFonts w:cs="Arial"/>
          <w:lang w:val="en-US"/>
        </w:rPr>
        <w:t xml:space="preserve"> 761-781.</w:t>
      </w:r>
    </w:p>
    <w:p w14:paraId="31C8BD9F" w14:textId="77777777" w:rsidR="00156AB1" w:rsidRPr="008860A2" w:rsidRDefault="00156AB1" w:rsidP="00156AB1">
      <w:pPr>
        <w:widowControl w:val="0"/>
        <w:tabs>
          <w:tab w:val="left" w:pos="142"/>
          <w:tab w:val="right" w:pos="180"/>
        </w:tabs>
        <w:adjustRightInd w:val="0"/>
        <w:spacing w:before="120" w:line="264" w:lineRule="auto"/>
        <w:ind w:left="567" w:hanging="567"/>
        <w:rPr>
          <w:rFonts w:asciiTheme="minorHAnsi" w:hAnsiTheme="minorHAnsi" w:cs="Arial"/>
          <w:lang w:val="en-US"/>
        </w:rPr>
      </w:pPr>
      <w:r w:rsidRPr="008860A2">
        <w:rPr>
          <w:rFonts w:asciiTheme="minorHAnsi" w:hAnsiTheme="minorHAnsi" w:cs="Arial"/>
          <w:bCs/>
          <w:lang w:val="en-US"/>
        </w:rPr>
        <w:t>Hancock P</w:t>
      </w:r>
      <w:r w:rsidRPr="008860A2">
        <w:rPr>
          <w:rFonts w:asciiTheme="minorHAnsi" w:hAnsiTheme="minorHAnsi" w:cs="Arial"/>
          <w:lang w:val="en-US"/>
        </w:rPr>
        <w:t xml:space="preserve">, </w:t>
      </w:r>
      <w:proofErr w:type="spellStart"/>
      <w:r w:rsidRPr="008860A2">
        <w:rPr>
          <w:rFonts w:asciiTheme="minorHAnsi" w:hAnsiTheme="minorHAnsi" w:cs="Arial"/>
          <w:lang w:val="en-US"/>
        </w:rPr>
        <w:t>Boulton</w:t>
      </w:r>
      <w:proofErr w:type="spellEnd"/>
      <w:r w:rsidRPr="008860A2">
        <w:rPr>
          <w:rFonts w:asciiTheme="minorHAnsi" w:hAnsiTheme="minorHAnsi" w:cs="Arial"/>
          <w:lang w:val="en-US"/>
        </w:rPr>
        <w:t xml:space="preserve"> A, Humphreys W. 2005. Aquifers and </w:t>
      </w:r>
      <w:proofErr w:type="spellStart"/>
      <w:r w:rsidRPr="008860A2">
        <w:rPr>
          <w:rFonts w:asciiTheme="minorHAnsi" w:hAnsiTheme="minorHAnsi" w:cs="Arial"/>
          <w:lang w:val="en-US"/>
        </w:rPr>
        <w:t>hyporheic</w:t>
      </w:r>
      <w:proofErr w:type="spellEnd"/>
      <w:r w:rsidRPr="008860A2">
        <w:rPr>
          <w:rFonts w:asciiTheme="minorHAnsi" w:hAnsiTheme="minorHAnsi" w:cs="Arial"/>
          <w:lang w:val="en-US"/>
        </w:rPr>
        <w:t xml:space="preserve"> zones: toward an ecological understanding of groundwater.</w:t>
      </w:r>
      <w:r w:rsidRPr="008860A2">
        <w:rPr>
          <w:rFonts w:asciiTheme="minorHAnsi" w:hAnsiTheme="minorHAnsi" w:cs="Arial"/>
          <w:i/>
          <w:iCs/>
          <w:lang w:val="en-US"/>
        </w:rPr>
        <w:t xml:space="preserve"> Hydrogeology Journal</w:t>
      </w:r>
      <w:r w:rsidRPr="008860A2">
        <w:rPr>
          <w:rFonts w:asciiTheme="minorHAnsi" w:hAnsiTheme="minorHAnsi" w:cs="Arial"/>
          <w:lang w:val="en-US"/>
        </w:rPr>
        <w:t xml:space="preserve">, </w:t>
      </w:r>
      <w:r w:rsidRPr="008860A2">
        <w:rPr>
          <w:rFonts w:asciiTheme="minorHAnsi" w:hAnsiTheme="minorHAnsi" w:cs="Arial"/>
          <w:b/>
          <w:lang w:val="en-US"/>
        </w:rPr>
        <w:t>13</w:t>
      </w:r>
      <w:r w:rsidR="008437C9">
        <w:rPr>
          <w:rFonts w:asciiTheme="minorHAnsi" w:hAnsiTheme="minorHAnsi" w:cs="Arial"/>
          <w:lang w:val="en-US"/>
        </w:rPr>
        <w:t>,</w:t>
      </w:r>
      <w:r w:rsidRPr="00156AB1">
        <w:rPr>
          <w:rFonts w:asciiTheme="minorHAnsi" w:hAnsiTheme="minorHAnsi" w:cs="Arial"/>
          <w:lang w:val="en-US"/>
        </w:rPr>
        <w:t xml:space="preserve"> </w:t>
      </w:r>
      <w:r w:rsidRPr="008860A2">
        <w:rPr>
          <w:rFonts w:asciiTheme="minorHAnsi" w:hAnsiTheme="minorHAnsi" w:cs="Arial"/>
          <w:lang w:val="en-US"/>
        </w:rPr>
        <w:t>98-111.</w:t>
      </w:r>
    </w:p>
    <w:p w14:paraId="31C8BDA0" w14:textId="77777777" w:rsidR="00873B87" w:rsidRDefault="00873B87" w:rsidP="00156AB1">
      <w:pPr>
        <w:pStyle w:val="Reference"/>
        <w:rPr>
          <w:rStyle w:val="normaltextrun"/>
        </w:rPr>
      </w:pPr>
      <w:r w:rsidRPr="00873B87">
        <w:rPr>
          <w:rStyle w:val="normaltextrun"/>
        </w:rPr>
        <w:t xml:space="preserve">Hancock PJ, Bouton AJ. 2008. Stygofauna biodiversity and endemism in four alluvial aquifers in eastern Australia. </w:t>
      </w:r>
      <w:r w:rsidRPr="00873B87">
        <w:rPr>
          <w:rStyle w:val="normaltextrun"/>
          <w:i/>
        </w:rPr>
        <w:t>Invertebrate Systematics</w:t>
      </w:r>
      <w:r w:rsidRPr="00873B87">
        <w:rPr>
          <w:rStyle w:val="normaltextrun"/>
        </w:rPr>
        <w:t xml:space="preserve">, </w:t>
      </w:r>
      <w:r w:rsidRPr="00873B87">
        <w:rPr>
          <w:rStyle w:val="normaltextrun"/>
          <w:b/>
        </w:rPr>
        <w:t>22(2)</w:t>
      </w:r>
      <w:r w:rsidR="008437C9">
        <w:rPr>
          <w:rStyle w:val="normaltextrun"/>
        </w:rPr>
        <w:t>,</w:t>
      </w:r>
      <w:r w:rsidRPr="00873B87">
        <w:rPr>
          <w:rStyle w:val="normaltextrun"/>
        </w:rPr>
        <w:t xml:space="preserve"> 117-126.</w:t>
      </w:r>
    </w:p>
    <w:p w14:paraId="31C8BDA1" w14:textId="77777777" w:rsidR="001F26CB" w:rsidRDefault="001F26CB" w:rsidP="00102EC7">
      <w:pPr>
        <w:pStyle w:val="Reference"/>
      </w:pPr>
      <w:r>
        <w:t xml:space="preserve">Hart BT, </w:t>
      </w:r>
      <w:proofErr w:type="spellStart"/>
      <w:r>
        <w:t>Pollino</w:t>
      </w:r>
      <w:proofErr w:type="spellEnd"/>
      <w:r>
        <w:t xml:space="preserve"> CA. 2009. Bayesian networks for risk-based environmental water allocations. Waterlines Report Series No 14, National Water Commission, Canberra</w:t>
      </w:r>
      <w:r w:rsidR="0079145D">
        <w:t>.</w:t>
      </w:r>
    </w:p>
    <w:p w14:paraId="31C8BDA2" w14:textId="77777777" w:rsidR="0049263E" w:rsidRPr="0049263E" w:rsidRDefault="00CF110A" w:rsidP="0049263E">
      <w:pPr>
        <w:pStyle w:val="Reference"/>
      </w:pPr>
      <w:r w:rsidRPr="00873B87">
        <w:t xml:space="preserve">Hatton T, Evans R. 1998. Dependence of ecosystems on groundwater and its significance to Australia. Land and Water Resources research and Development Council (LWRRDC) </w:t>
      </w:r>
      <w:r w:rsidR="00382310" w:rsidRPr="00873B87">
        <w:t>Occasional</w:t>
      </w:r>
      <w:r w:rsidRPr="00873B87">
        <w:t xml:space="preserve"> Paper No12/98. Canberra.</w:t>
      </w:r>
      <w:r w:rsidR="0049263E">
        <w:t xml:space="preserve"> </w:t>
      </w:r>
      <w:hyperlink r:id="rId100" w:history="1">
        <w:r w:rsidR="0049263E">
          <w:rPr>
            <w:rStyle w:val="Hyperlink"/>
          </w:rPr>
          <w:t>Report Link</w:t>
        </w:r>
      </w:hyperlink>
      <w:r w:rsidR="0049263E">
        <w:t>.</w:t>
      </w:r>
    </w:p>
    <w:p w14:paraId="31C8BDA3" w14:textId="77777777" w:rsidR="001F26CB" w:rsidRDefault="001F26CB" w:rsidP="001F26CB">
      <w:pPr>
        <w:pStyle w:val="BodyText"/>
        <w:ind w:left="567" w:hanging="567"/>
      </w:pPr>
      <w:r w:rsidRPr="001F26CB">
        <w:t xml:space="preserve">Holland KL, </w:t>
      </w:r>
      <w:proofErr w:type="spellStart"/>
      <w:r w:rsidRPr="001F26CB">
        <w:t>Aryal</w:t>
      </w:r>
      <w:proofErr w:type="spellEnd"/>
      <w:r w:rsidRPr="001F26CB">
        <w:t xml:space="preserve"> SK, Bruce J, Carey H, Davies P, Ford J, Henderson B, Herr A, </w:t>
      </w:r>
      <w:proofErr w:type="spellStart"/>
      <w:r w:rsidRPr="001F26CB">
        <w:t>Janardhanan</w:t>
      </w:r>
      <w:proofErr w:type="spellEnd"/>
      <w:r w:rsidRPr="001F26CB">
        <w:t xml:space="preserve"> S, </w:t>
      </w:r>
      <w:proofErr w:type="spellStart"/>
      <w:r w:rsidRPr="001F26CB">
        <w:t>Merrin</w:t>
      </w:r>
      <w:proofErr w:type="spellEnd"/>
      <w:r w:rsidRPr="001F26CB">
        <w:t xml:space="preserve"> LE, </w:t>
      </w:r>
      <w:r>
        <w:t xml:space="preserve"> M</w:t>
      </w:r>
      <w:r w:rsidRPr="001F26CB">
        <w:t xml:space="preserve">itchell PJ, Mount RE, O’Grady AP, </w:t>
      </w:r>
      <w:proofErr w:type="spellStart"/>
      <w:r w:rsidRPr="001F26CB">
        <w:t>Ransley</w:t>
      </w:r>
      <w:proofErr w:type="spellEnd"/>
      <w:r w:rsidRPr="001F26CB">
        <w:t xml:space="preserve"> T, Sander R and Schmidt RK</w:t>
      </w:r>
      <w:r>
        <w:t>.</w:t>
      </w:r>
      <w:r w:rsidRPr="001F26CB">
        <w:t xml:space="preserve"> 2016</w:t>
      </w:r>
      <w:r>
        <w:t>.</w:t>
      </w:r>
      <w:r w:rsidRPr="001F26CB">
        <w:t xml:space="preserve"> Conceptual modelling for the Maranoa-Balonne-Condamine subregion. Product 2.3 for the Maranoa-Balonne-Condamine subregion from the Northern Inland Catchments Bioregional Assessment. Department of the Environment and Energy, Bureau of Meteorology, CSIRO and Geoscience Australia, Australia. </w:t>
      </w:r>
      <w:hyperlink r:id="rId101" w:history="1">
        <w:r w:rsidR="00D036B0">
          <w:rPr>
            <w:rStyle w:val="Hyperlink"/>
          </w:rPr>
          <w:t>Report Link</w:t>
        </w:r>
      </w:hyperlink>
      <w:r w:rsidR="00D036B0">
        <w:rPr>
          <w:rStyle w:val="Hyperlink"/>
        </w:rPr>
        <w:t>.</w:t>
      </w:r>
    </w:p>
    <w:p w14:paraId="31C8BDA4" w14:textId="77777777" w:rsidR="00156AB1" w:rsidRDefault="00156AB1" w:rsidP="00156AB1">
      <w:pPr>
        <w:ind w:left="567" w:hanging="567"/>
        <w:rPr>
          <w:rFonts w:asciiTheme="minorHAnsi" w:hAnsiTheme="minorHAnsi" w:cs="Arial"/>
          <w:iCs/>
          <w:lang w:val="en-US"/>
        </w:rPr>
      </w:pPr>
      <w:r w:rsidRPr="008860A2">
        <w:rPr>
          <w:rFonts w:asciiTheme="minorHAnsi" w:hAnsiTheme="minorHAnsi" w:cs="Arial"/>
          <w:iCs/>
          <w:lang w:val="en-US"/>
        </w:rPr>
        <w:t xml:space="preserve">Hose GC, </w:t>
      </w:r>
      <w:proofErr w:type="spellStart"/>
      <w:r w:rsidRPr="008860A2">
        <w:rPr>
          <w:rFonts w:asciiTheme="minorHAnsi" w:hAnsiTheme="minorHAnsi" w:cs="Arial"/>
          <w:iCs/>
          <w:lang w:val="en-US"/>
        </w:rPr>
        <w:t>Sreekanth</w:t>
      </w:r>
      <w:proofErr w:type="spellEnd"/>
      <w:r w:rsidRPr="008860A2">
        <w:rPr>
          <w:rFonts w:asciiTheme="minorHAnsi" w:hAnsiTheme="minorHAnsi" w:cs="Arial"/>
          <w:iCs/>
          <w:lang w:val="en-US"/>
        </w:rPr>
        <w:t xml:space="preserve"> J, Barron O, </w:t>
      </w:r>
      <w:proofErr w:type="spellStart"/>
      <w:r w:rsidRPr="008860A2">
        <w:rPr>
          <w:rFonts w:asciiTheme="minorHAnsi" w:hAnsiTheme="minorHAnsi" w:cs="Arial"/>
          <w:iCs/>
          <w:lang w:val="en-US"/>
        </w:rPr>
        <w:t>Pollino</w:t>
      </w:r>
      <w:proofErr w:type="spellEnd"/>
      <w:r w:rsidRPr="008860A2">
        <w:rPr>
          <w:rFonts w:asciiTheme="minorHAnsi" w:hAnsiTheme="minorHAnsi" w:cs="Arial"/>
          <w:iCs/>
          <w:lang w:val="en-US"/>
        </w:rPr>
        <w:t xml:space="preserve"> C. 2015. </w:t>
      </w:r>
      <w:r w:rsidRPr="008860A2">
        <w:rPr>
          <w:rFonts w:asciiTheme="minorHAnsi" w:hAnsiTheme="minorHAnsi" w:cs="Arial"/>
          <w:i/>
          <w:iCs/>
          <w:lang w:val="en-US"/>
        </w:rPr>
        <w:t>Stygofauna in Australian groundwater systems: extent of knowledge</w:t>
      </w:r>
      <w:r w:rsidRPr="008860A2">
        <w:rPr>
          <w:rFonts w:asciiTheme="minorHAnsi" w:hAnsiTheme="minorHAnsi" w:cs="Arial"/>
          <w:iCs/>
          <w:lang w:val="en-US"/>
        </w:rPr>
        <w:t>. Report to the Australian Coal Association Research Program. CSIRO, Australia</w:t>
      </w:r>
      <w:r>
        <w:rPr>
          <w:rFonts w:asciiTheme="minorHAnsi" w:hAnsiTheme="minorHAnsi" w:cs="Arial"/>
          <w:iCs/>
          <w:lang w:val="en-US"/>
        </w:rPr>
        <w:t>.</w:t>
      </w:r>
      <w:r w:rsidR="00CC7DBE">
        <w:rPr>
          <w:rFonts w:asciiTheme="minorHAnsi" w:hAnsiTheme="minorHAnsi" w:cs="Arial"/>
          <w:iCs/>
          <w:lang w:val="en-US"/>
        </w:rPr>
        <w:t xml:space="preserve"> </w:t>
      </w:r>
      <w:hyperlink r:id="rId102" w:history="1">
        <w:r w:rsidR="00CC7DBE">
          <w:rPr>
            <w:rStyle w:val="Hyperlink"/>
            <w:rFonts w:asciiTheme="minorHAnsi" w:hAnsiTheme="minorHAnsi" w:cs="Arial"/>
            <w:iCs/>
            <w:lang w:val="en-US"/>
          </w:rPr>
          <w:t>Report Link</w:t>
        </w:r>
      </w:hyperlink>
      <w:r w:rsidR="00CC7DBE">
        <w:rPr>
          <w:rFonts w:asciiTheme="minorHAnsi" w:hAnsiTheme="minorHAnsi" w:cs="Arial"/>
          <w:iCs/>
          <w:lang w:val="en-US"/>
        </w:rPr>
        <w:t>.</w:t>
      </w:r>
    </w:p>
    <w:p w14:paraId="31C8BDA5" w14:textId="77777777" w:rsidR="00156AB1" w:rsidRPr="008860A2" w:rsidRDefault="00156AB1" w:rsidP="00156AB1">
      <w:pPr>
        <w:autoSpaceDE w:val="0"/>
        <w:autoSpaceDN w:val="0"/>
        <w:adjustRightInd w:val="0"/>
        <w:ind w:left="567" w:hanging="567"/>
        <w:rPr>
          <w:rFonts w:asciiTheme="minorHAnsi" w:hAnsiTheme="minorHAnsi" w:cs="Arial"/>
        </w:rPr>
      </w:pPr>
      <w:r w:rsidRPr="008860A2">
        <w:rPr>
          <w:rFonts w:asciiTheme="minorHAnsi" w:hAnsiTheme="minorHAnsi" w:cs="Arial"/>
        </w:rPr>
        <w:t xml:space="preserve">Humphreys WF. 2008. Rising from down under: developments in subterranean biodiversity in Australia from a groundwater fauna perspective. </w:t>
      </w:r>
      <w:r w:rsidRPr="008860A2">
        <w:rPr>
          <w:rFonts w:asciiTheme="minorHAnsi" w:hAnsiTheme="minorHAnsi" w:cs="Arial"/>
          <w:i/>
          <w:iCs/>
        </w:rPr>
        <w:t xml:space="preserve">Invertebrate Systematics, </w:t>
      </w:r>
      <w:r w:rsidRPr="008860A2">
        <w:rPr>
          <w:rFonts w:asciiTheme="minorHAnsi" w:hAnsiTheme="minorHAnsi" w:cs="Arial"/>
          <w:b/>
          <w:bCs/>
        </w:rPr>
        <w:t>22</w:t>
      </w:r>
      <w:r w:rsidR="00786D6F">
        <w:rPr>
          <w:rFonts w:asciiTheme="minorHAnsi" w:hAnsiTheme="minorHAnsi" w:cs="Arial"/>
        </w:rPr>
        <w:t>, 85-</w:t>
      </w:r>
      <w:r w:rsidRPr="008860A2">
        <w:rPr>
          <w:rFonts w:asciiTheme="minorHAnsi" w:hAnsiTheme="minorHAnsi" w:cs="Arial"/>
        </w:rPr>
        <w:t>101.</w:t>
      </w:r>
    </w:p>
    <w:p w14:paraId="31C8BDA6" w14:textId="77777777" w:rsidR="00F2666B" w:rsidRDefault="00156AB1" w:rsidP="00156AB1">
      <w:pPr>
        <w:ind w:left="567" w:hanging="567"/>
        <w:rPr>
          <w:rFonts w:asciiTheme="minorHAnsi" w:hAnsiTheme="minorHAnsi"/>
        </w:rPr>
      </w:pPr>
      <w:r w:rsidRPr="008860A2">
        <w:rPr>
          <w:rFonts w:asciiTheme="minorHAnsi" w:hAnsiTheme="minorHAnsi"/>
        </w:rPr>
        <w:t xml:space="preserve">Hyde J, Cooper SJB, Humphreys WF, Austin AD, </w:t>
      </w:r>
      <w:proofErr w:type="spellStart"/>
      <w:r w:rsidRPr="008860A2">
        <w:rPr>
          <w:rFonts w:asciiTheme="minorHAnsi" w:hAnsiTheme="minorHAnsi"/>
        </w:rPr>
        <w:t>Munguia</w:t>
      </w:r>
      <w:proofErr w:type="spellEnd"/>
      <w:r w:rsidRPr="008860A2">
        <w:rPr>
          <w:rFonts w:asciiTheme="minorHAnsi" w:hAnsiTheme="minorHAnsi"/>
        </w:rPr>
        <w:t xml:space="preserve"> P. 2018. Diversity patterns of subterranean invertebrate fauna in calcretes of the </w:t>
      </w:r>
      <w:proofErr w:type="spellStart"/>
      <w:r w:rsidRPr="008860A2">
        <w:rPr>
          <w:rFonts w:asciiTheme="minorHAnsi" w:hAnsiTheme="minorHAnsi"/>
        </w:rPr>
        <w:t>Yilgarn</w:t>
      </w:r>
      <w:proofErr w:type="spellEnd"/>
      <w:r w:rsidRPr="008860A2">
        <w:rPr>
          <w:rFonts w:asciiTheme="minorHAnsi" w:hAnsiTheme="minorHAnsi"/>
        </w:rPr>
        <w:t xml:space="preserve"> Region, Western Australia. </w:t>
      </w:r>
      <w:r w:rsidRPr="008860A2">
        <w:rPr>
          <w:rFonts w:asciiTheme="minorHAnsi" w:hAnsiTheme="minorHAnsi"/>
          <w:i/>
        </w:rPr>
        <w:t>Marine and Freshwater Research</w:t>
      </w:r>
      <w:r w:rsidRPr="008860A2">
        <w:rPr>
          <w:rFonts w:asciiTheme="minorHAnsi" w:hAnsiTheme="minorHAnsi"/>
        </w:rPr>
        <w:t xml:space="preserve">, </w:t>
      </w:r>
      <w:r w:rsidRPr="008860A2">
        <w:rPr>
          <w:rFonts w:asciiTheme="minorHAnsi" w:hAnsiTheme="minorHAnsi"/>
          <w:b/>
        </w:rPr>
        <w:t>69</w:t>
      </w:r>
      <w:r w:rsidR="00797ED1">
        <w:rPr>
          <w:rFonts w:asciiTheme="minorHAnsi" w:hAnsiTheme="minorHAnsi"/>
        </w:rPr>
        <w:t>,</w:t>
      </w:r>
      <w:r w:rsidRPr="008860A2">
        <w:rPr>
          <w:rFonts w:asciiTheme="minorHAnsi" w:hAnsiTheme="minorHAnsi"/>
        </w:rPr>
        <w:t xml:space="preserve"> 114-121.</w:t>
      </w:r>
    </w:p>
    <w:p w14:paraId="31C8BDA7" w14:textId="77777777" w:rsidR="00F2666B" w:rsidRDefault="00F2666B" w:rsidP="00F2666B">
      <w:pPr>
        <w:pStyle w:val="Reference"/>
      </w:pPr>
      <w:proofErr w:type="spellStart"/>
      <w:r>
        <w:t>Janardhanaran</w:t>
      </w:r>
      <w:proofErr w:type="spellEnd"/>
      <w:r>
        <w:t xml:space="preserve"> S, Holland KL, Gallagher M, </w:t>
      </w:r>
      <w:proofErr w:type="spellStart"/>
      <w:r>
        <w:t>Aramini</w:t>
      </w:r>
      <w:proofErr w:type="spellEnd"/>
      <w:r>
        <w:t xml:space="preserve"> D, Davies P, </w:t>
      </w:r>
      <w:proofErr w:type="spellStart"/>
      <w:r>
        <w:t>Merrin</w:t>
      </w:r>
      <w:proofErr w:type="spellEnd"/>
      <w:r>
        <w:t xml:space="preserve"> LE, </w:t>
      </w:r>
      <w:proofErr w:type="spellStart"/>
      <w:r>
        <w:t>Turnadge</w:t>
      </w:r>
      <w:proofErr w:type="spellEnd"/>
      <w:r>
        <w:t xml:space="preserve"> C. 2016. Groundwater numerical modelling for the Maranoa-Balonne-Condamine subregion. Product 2.6.2 for the Maranoa-Balonne-Condamine subregion from the Northern Inland Catchments Bioregional Assessment. Department of the Environment and Energy, Bureau of Meteorology, CSIRO and Geoscience Australia, Australia. </w:t>
      </w:r>
      <w:hyperlink r:id="rId103" w:history="1">
        <w:r>
          <w:rPr>
            <w:rStyle w:val="Hyperlink"/>
          </w:rPr>
          <w:t>Report Link</w:t>
        </w:r>
      </w:hyperlink>
      <w:r>
        <w:t>.</w:t>
      </w:r>
    </w:p>
    <w:p w14:paraId="31C8BDA8" w14:textId="77777777" w:rsidR="00156AB1" w:rsidRPr="008860A2" w:rsidRDefault="00156AB1" w:rsidP="00156AB1">
      <w:pPr>
        <w:autoSpaceDE w:val="0"/>
        <w:autoSpaceDN w:val="0"/>
        <w:adjustRightInd w:val="0"/>
        <w:ind w:left="567" w:hanging="567"/>
        <w:rPr>
          <w:rFonts w:asciiTheme="minorHAnsi" w:hAnsiTheme="minorHAnsi" w:cs="Arial"/>
        </w:rPr>
      </w:pPr>
      <w:proofErr w:type="spellStart"/>
      <w:r w:rsidRPr="008860A2">
        <w:rPr>
          <w:rFonts w:asciiTheme="minorHAnsi" w:hAnsiTheme="minorHAnsi" w:cs="Arial"/>
        </w:rPr>
        <w:t>Jasinska</w:t>
      </w:r>
      <w:proofErr w:type="spellEnd"/>
      <w:r w:rsidRPr="008860A2">
        <w:rPr>
          <w:rFonts w:asciiTheme="minorHAnsi" w:hAnsiTheme="minorHAnsi" w:cs="Arial"/>
        </w:rPr>
        <w:t xml:space="preserve"> EJ, Knott B, </w:t>
      </w:r>
      <w:proofErr w:type="spellStart"/>
      <w:r w:rsidRPr="008860A2">
        <w:rPr>
          <w:rFonts w:asciiTheme="minorHAnsi" w:hAnsiTheme="minorHAnsi" w:cs="Arial"/>
        </w:rPr>
        <w:t>McComb</w:t>
      </w:r>
      <w:proofErr w:type="spellEnd"/>
      <w:r w:rsidRPr="008860A2">
        <w:rPr>
          <w:rFonts w:asciiTheme="minorHAnsi" w:hAnsiTheme="minorHAnsi" w:cs="Arial"/>
        </w:rPr>
        <w:t xml:space="preserve"> AR. 1996. Root mats in ground water: a fauna-rich cave habitat. </w:t>
      </w:r>
      <w:r w:rsidRPr="008860A2">
        <w:rPr>
          <w:rFonts w:asciiTheme="minorHAnsi" w:hAnsiTheme="minorHAnsi" w:cs="Arial"/>
          <w:i/>
          <w:iCs/>
        </w:rPr>
        <w:t xml:space="preserve">Journal of the North American </w:t>
      </w:r>
      <w:proofErr w:type="spellStart"/>
      <w:r w:rsidRPr="008860A2">
        <w:rPr>
          <w:rFonts w:asciiTheme="minorHAnsi" w:hAnsiTheme="minorHAnsi" w:cs="Arial"/>
          <w:i/>
          <w:iCs/>
        </w:rPr>
        <w:t>Benthological</w:t>
      </w:r>
      <w:proofErr w:type="spellEnd"/>
      <w:r w:rsidRPr="008860A2">
        <w:rPr>
          <w:rFonts w:asciiTheme="minorHAnsi" w:hAnsiTheme="minorHAnsi" w:cs="Arial"/>
          <w:i/>
          <w:iCs/>
        </w:rPr>
        <w:t xml:space="preserve"> Society</w:t>
      </w:r>
      <w:r w:rsidRPr="008860A2">
        <w:rPr>
          <w:rFonts w:asciiTheme="minorHAnsi" w:hAnsiTheme="minorHAnsi" w:cs="Arial"/>
          <w:iCs/>
        </w:rPr>
        <w:t>,</w:t>
      </w:r>
      <w:r w:rsidRPr="008860A2">
        <w:rPr>
          <w:rFonts w:asciiTheme="minorHAnsi" w:hAnsiTheme="minorHAnsi" w:cs="Arial"/>
          <w:i/>
          <w:iCs/>
        </w:rPr>
        <w:t xml:space="preserve"> </w:t>
      </w:r>
      <w:r w:rsidRPr="008860A2">
        <w:rPr>
          <w:rFonts w:asciiTheme="minorHAnsi" w:hAnsiTheme="minorHAnsi" w:cs="Arial"/>
          <w:b/>
          <w:bCs/>
        </w:rPr>
        <w:t>15</w:t>
      </w:r>
      <w:r w:rsidR="00797ED1">
        <w:rPr>
          <w:rFonts w:asciiTheme="minorHAnsi" w:hAnsiTheme="minorHAnsi" w:cs="Arial"/>
        </w:rPr>
        <w:t>,</w:t>
      </w:r>
      <w:r w:rsidRPr="008860A2">
        <w:rPr>
          <w:rFonts w:asciiTheme="minorHAnsi" w:hAnsiTheme="minorHAnsi" w:cs="Arial"/>
        </w:rPr>
        <w:t xml:space="preserve"> 508</w:t>
      </w:r>
      <w:r w:rsidR="00797ED1">
        <w:rPr>
          <w:rFonts w:asciiTheme="minorHAnsi" w:hAnsiTheme="minorHAnsi" w:cs="Arial"/>
        </w:rPr>
        <w:t>-</w:t>
      </w:r>
      <w:r w:rsidRPr="008860A2">
        <w:rPr>
          <w:rFonts w:asciiTheme="minorHAnsi" w:hAnsiTheme="minorHAnsi" w:cs="Arial"/>
        </w:rPr>
        <w:t xml:space="preserve">519. </w:t>
      </w:r>
    </w:p>
    <w:p w14:paraId="31C8BDA9" w14:textId="77777777" w:rsidR="00987D84" w:rsidRPr="00987D84" w:rsidRDefault="00987D84" w:rsidP="00987D84">
      <w:pPr>
        <w:pStyle w:val="Reference"/>
      </w:pPr>
      <w:r>
        <w:t xml:space="preserve">Kath J, Reardon-Smith K, </w:t>
      </w:r>
      <w:proofErr w:type="spellStart"/>
      <w:r>
        <w:t>LeBrocque</w:t>
      </w:r>
      <w:proofErr w:type="spellEnd"/>
      <w:r>
        <w:t xml:space="preserve"> AF, Dyer FJ, </w:t>
      </w:r>
      <w:proofErr w:type="spellStart"/>
      <w:r>
        <w:t>Dafny</w:t>
      </w:r>
      <w:proofErr w:type="spellEnd"/>
      <w:r>
        <w:t xml:space="preserve"> E, Fritz L, </w:t>
      </w:r>
      <w:proofErr w:type="spellStart"/>
      <w:r>
        <w:t>Batterham</w:t>
      </w:r>
      <w:proofErr w:type="spellEnd"/>
      <w:r>
        <w:t xml:space="preserve"> M. 2014. Groundwater decline and tree change in floodplain landscapes: Identifying non-linear threshold responses in canopy condition. </w:t>
      </w:r>
      <w:r w:rsidRPr="00987D84">
        <w:rPr>
          <w:i/>
        </w:rPr>
        <w:t>Global Ecology and Conservation</w:t>
      </w:r>
      <w:r>
        <w:t xml:space="preserve">, </w:t>
      </w:r>
      <w:r w:rsidRPr="00987D84">
        <w:rPr>
          <w:b/>
        </w:rPr>
        <w:t>2</w:t>
      </w:r>
      <w:r>
        <w:t>, 148-160.</w:t>
      </w:r>
    </w:p>
    <w:p w14:paraId="31C8BDAA" w14:textId="77777777" w:rsidR="00EF0286" w:rsidRPr="00EF0286" w:rsidRDefault="00EF0286" w:rsidP="00EF0286">
      <w:pPr>
        <w:pStyle w:val="Reference"/>
      </w:pPr>
      <w:proofErr w:type="spellStart"/>
      <w:r>
        <w:t>Korbel</w:t>
      </w:r>
      <w:proofErr w:type="spellEnd"/>
      <w:r>
        <w:t xml:space="preserve"> KL, Chariton A, Stephenson S, Greenfield R, Hose GC. 2017. Wells provide a distorted view of life in the aquifer:</w:t>
      </w:r>
      <w:r w:rsidR="002E1975">
        <w:t xml:space="preserve"> implications for sampling, monitoring and assessment of groundwater ecosystems. Scientific Reports 7, Article 40702.</w:t>
      </w:r>
    </w:p>
    <w:p w14:paraId="31C8BDAB" w14:textId="77777777" w:rsidR="00C27BD9" w:rsidRPr="00C27BD9" w:rsidRDefault="00C27BD9" w:rsidP="00C27BD9">
      <w:pPr>
        <w:pStyle w:val="BodyText"/>
        <w:ind w:left="567" w:hanging="567"/>
      </w:pPr>
      <w:proofErr w:type="spellStart"/>
      <w:r>
        <w:t>Mächler</w:t>
      </w:r>
      <w:proofErr w:type="spellEnd"/>
      <w:r>
        <w:t xml:space="preserve"> E, </w:t>
      </w:r>
      <w:proofErr w:type="spellStart"/>
      <w:r>
        <w:t>Deiner</w:t>
      </w:r>
      <w:proofErr w:type="spellEnd"/>
      <w:r>
        <w:t xml:space="preserve"> K, Steinmann P, </w:t>
      </w:r>
      <w:proofErr w:type="spellStart"/>
      <w:r>
        <w:t>Altermatt</w:t>
      </w:r>
      <w:proofErr w:type="spellEnd"/>
      <w:r>
        <w:t xml:space="preserve"> F. 2014. Utility of environmental DNA for monitoring rare and indicator macroinvertebrate species. </w:t>
      </w:r>
      <w:r>
        <w:rPr>
          <w:i/>
        </w:rPr>
        <w:t>Freshwater Science</w:t>
      </w:r>
      <w:r>
        <w:t xml:space="preserve">, </w:t>
      </w:r>
      <w:r w:rsidR="00665966">
        <w:rPr>
          <w:b/>
        </w:rPr>
        <w:t>33(4)</w:t>
      </w:r>
      <w:r w:rsidR="00665966" w:rsidRPr="00665966">
        <w:t>,</w:t>
      </w:r>
      <w:r w:rsidR="00665966">
        <w:rPr>
          <w:b/>
        </w:rPr>
        <w:t xml:space="preserve"> </w:t>
      </w:r>
      <w:r>
        <w:t>1174-1183.</w:t>
      </w:r>
    </w:p>
    <w:p w14:paraId="31C8BDAC" w14:textId="77777777" w:rsidR="00C905FF" w:rsidRDefault="00C905FF" w:rsidP="008D610A">
      <w:pPr>
        <w:pStyle w:val="BodyText"/>
        <w:ind w:left="567" w:hanging="567"/>
      </w:pPr>
      <w:r>
        <w:t xml:space="preserve">Nugent G, Chambers J, </w:t>
      </w:r>
      <w:proofErr w:type="spellStart"/>
      <w:r>
        <w:t>Spelewinde</w:t>
      </w:r>
      <w:proofErr w:type="spellEnd"/>
      <w:r>
        <w:t xml:space="preserve"> P. 2013. Adapting to Climate Change: A risk assessment and decision making framework for managing </w:t>
      </w:r>
      <w:r w:rsidR="004F60BB">
        <w:t>groundwater-dependent</w:t>
      </w:r>
      <w:r>
        <w:t xml:space="preserve"> ecosystems with declining water levels. National Climate Change Adaptation Research Facility</w:t>
      </w:r>
      <w:r w:rsidR="00CB5F0C">
        <w:t xml:space="preserve">. </w:t>
      </w:r>
      <w:hyperlink r:id="rId104" w:history="1">
        <w:r w:rsidR="00CB5F0C">
          <w:rPr>
            <w:rStyle w:val="Hyperlink"/>
          </w:rPr>
          <w:t>Report Link</w:t>
        </w:r>
      </w:hyperlink>
      <w:r w:rsidR="00CB5F0C">
        <w:t>.</w:t>
      </w:r>
    </w:p>
    <w:p w14:paraId="31C8BDAD" w14:textId="77777777" w:rsidR="00CE4A24" w:rsidRDefault="00CE4A24" w:rsidP="00102EC7">
      <w:pPr>
        <w:pStyle w:val="Reference"/>
        <w:rPr>
          <w:rStyle w:val="Hyperlink"/>
        </w:rPr>
      </w:pPr>
      <w:r w:rsidRPr="00873B87">
        <w:t xml:space="preserve">NWI. 2004. National Water Initiative. </w:t>
      </w:r>
      <w:r w:rsidRPr="00873B87">
        <w:rPr>
          <w:rStyle w:val="normaltextrun"/>
        </w:rPr>
        <w:t xml:space="preserve">Commonwealth of Australia. </w:t>
      </w:r>
      <w:hyperlink r:id="rId105" w:history="1">
        <w:r w:rsidR="00665966">
          <w:rPr>
            <w:rStyle w:val="Hyperlink"/>
          </w:rPr>
          <w:t>Report Link</w:t>
        </w:r>
      </w:hyperlink>
      <w:r w:rsidR="00665966">
        <w:rPr>
          <w:rStyle w:val="Hyperlink"/>
        </w:rPr>
        <w:t>.</w:t>
      </w:r>
    </w:p>
    <w:p w14:paraId="31C8BDAE" w14:textId="77777777" w:rsidR="00490A72" w:rsidRPr="00490A72" w:rsidRDefault="00490A72" w:rsidP="00490A72">
      <w:pPr>
        <w:pStyle w:val="BodyText"/>
        <w:ind w:left="567" w:hanging="567"/>
        <w:rPr>
          <w:rFonts w:asciiTheme="minorHAnsi" w:hAnsiTheme="minorHAnsi" w:cs="Arial"/>
          <w:color w:val="333333"/>
          <w:shd w:val="clear" w:color="auto" w:fill="FFFFFF"/>
        </w:rPr>
      </w:pPr>
      <w:r w:rsidRPr="00490A72">
        <w:rPr>
          <w:rFonts w:asciiTheme="minorHAnsi" w:hAnsiTheme="minorHAnsi" w:cs="Arial"/>
          <w:color w:val="333333"/>
          <w:shd w:val="clear" w:color="auto" w:fill="FFFFFF"/>
        </w:rPr>
        <w:t xml:space="preserve">Olds BP, </w:t>
      </w:r>
      <w:proofErr w:type="spellStart"/>
      <w:r w:rsidRPr="00490A72">
        <w:rPr>
          <w:rFonts w:asciiTheme="minorHAnsi" w:hAnsiTheme="minorHAnsi" w:cs="Arial"/>
          <w:color w:val="333333"/>
          <w:shd w:val="clear" w:color="auto" w:fill="FFFFFF"/>
        </w:rPr>
        <w:t>Jerde</w:t>
      </w:r>
      <w:proofErr w:type="spellEnd"/>
      <w:r w:rsidRPr="00490A72">
        <w:rPr>
          <w:rFonts w:asciiTheme="minorHAnsi" w:hAnsiTheme="minorHAnsi" w:cs="Arial"/>
          <w:color w:val="333333"/>
          <w:shd w:val="clear" w:color="auto" w:fill="FFFFFF"/>
        </w:rPr>
        <w:t xml:space="preserve"> CL, Renshaw MA, Li Y, Evans NT, Turner CR, </w:t>
      </w:r>
      <w:proofErr w:type="spellStart"/>
      <w:r w:rsidRPr="00490A72">
        <w:rPr>
          <w:rFonts w:asciiTheme="minorHAnsi" w:hAnsiTheme="minorHAnsi" w:cs="Arial"/>
          <w:color w:val="333333"/>
          <w:shd w:val="clear" w:color="auto" w:fill="FFFFFF"/>
        </w:rPr>
        <w:t>Deiner</w:t>
      </w:r>
      <w:proofErr w:type="spellEnd"/>
      <w:r w:rsidRPr="00490A72">
        <w:rPr>
          <w:rFonts w:asciiTheme="minorHAnsi" w:hAnsiTheme="minorHAnsi" w:cs="Arial"/>
          <w:color w:val="333333"/>
          <w:shd w:val="clear" w:color="auto" w:fill="FFFFFF"/>
        </w:rPr>
        <w:t xml:space="preserve"> K, Mahon AR, </w:t>
      </w:r>
      <w:proofErr w:type="spellStart"/>
      <w:r w:rsidRPr="00490A72">
        <w:rPr>
          <w:rFonts w:asciiTheme="minorHAnsi" w:hAnsiTheme="minorHAnsi" w:cs="Arial"/>
          <w:color w:val="333333"/>
          <w:shd w:val="clear" w:color="auto" w:fill="FFFFFF"/>
        </w:rPr>
        <w:t>Brueseke</w:t>
      </w:r>
      <w:proofErr w:type="spellEnd"/>
      <w:r w:rsidRPr="00490A72">
        <w:rPr>
          <w:rFonts w:asciiTheme="minorHAnsi" w:hAnsiTheme="minorHAnsi" w:cs="Arial"/>
          <w:color w:val="333333"/>
          <w:shd w:val="clear" w:color="auto" w:fill="FFFFFF"/>
        </w:rPr>
        <w:t xml:space="preserve"> MA, </w:t>
      </w:r>
      <w:proofErr w:type="spellStart"/>
      <w:r w:rsidRPr="00490A72">
        <w:rPr>
          <w:rFonts w:asciiTheme="minorHAnsi" w:hAnsiTheme="minorHAnsi" w:cs="Arial"/>
          <w:color w:val="333333"/>
          <w:shd w:val="clear" w:color="auto" w:fill="FFFFFF"/>
        </w:rPr>
        <w:t>Shirey</w:t>
      </w:r>
      <w:proofErr w:type="spellEnd"/>
      <w:r w:rsidRPr="00490A72">
        <w:rPr>
          <w:rFonts w:asciiTheme="minorHAnsi" w:hAnsiTheme="minorHAnsi" w:cs="Arial"/>
          <w:color w:val="333333"/>
          <w:shd w:val="clear" w:color="auto" w:fill="FFFFFF"/>
        </w:rPr>
        <w:t xml:space="preserve"> PD, </w:t>
      </w:r>
      <w:proofErr w:type="spellStart"/>
      <w:r w:rsidRPr="00490A72">
        <w:rPr>
          <w:rFonts w:asciiTheme="minorHAnsi" w:hAnsiTheme="minorHAnsi" w:cs="Arial"/>
          <w:color w:val="333333"/>
          <w:shd w:val="clear" w:color="auto" w:fill="FFFFFF"/>
        </w:rPr>
        <w:t>Pfrender</w:t>
      </w:r>
      <w:proofErr w:type="spellEnd"/>
      <w:r w:rsidRPr="00490A72">
        <w:rPr>
          <w:rFonts w:asciiTheme="minorHAnsi" w:hAnsiTheme="minorHAnsi" w:cs="Arial"/>
          <w:color w:val="333333"/>
          <w:shd w:val="clear" w:color="auto" w:fill="FFFFFF"/>
        </w:rPr>
        <w:t xml:space="preserve"> ME, Lodge DM</w:t>
      </w:r>
      <w:r>
        <w:rPr>
          <w:rFonts w:asciiTheme="minorHAnsi" w:hAnsiTheme="minorHAnsi" w:cs="Arial"/>
          <w:color w:val="333333"/>
          <w:shd w:val="clear" w:color="auto" w:fill="FFFFFF"/>
        </w:rPr>
        <w:t>,</w:t>
      </w:r>
      <w:r w:rsidRPr="00490A72">
        <w:rPr>
          <w:rFonts w:asciiTheme="minorHAnsi" w:hAnsiTheme="minorHAnsi" w:cs="Arial"/>
          <w:color w:val="333333"/>
          <w:shd w:val="clear" w:color="auto" w:fill="FFFFFF"/>
        </w:rPr>
        <w:t xml:space="preserve"> </w:t>
      </w:r>
      <w:proofErr w:type="spellStart"/>
      <w:r w:rsidRPr="00490A72">
        <w:rPr>
          <w:rFonts w:asciiTheme="minorHAnsi" w:hAnsiTheme="minorHAnsi" w:cs="Arial"/>
          <w:color w:val="333333"/>
          <w:shd w:val="clear" w:color="auto" w:fill="FFFFFF"/>
        </w:rPr>
        <w:t>Lamberti</w:t>
      </w:r>
      <w:proofErr w:type="spellEnd"/>
      <w:r w:rsidRPr="00490A72">
        <w:rPr>
          <w:rFonts w:asciiTheme="minorHAnsi" w:hAnsiTheme="minorHAnsi" w:cs="Arial"/>
          <w:color w:val="333333"/>
          <w:shd w:val="clear" w:color="auto" w:fill="FFFFFF"/>
        </w:rPr>
        <w:t xml:space="preserve"> GA</w:t>
      </w:r>
      <w:r>
        <w:rPr>
          <w:rFonts w:asciiTheme="minorHAnsi" w:hAnsiTheme="minorHAnsi" w:cs="Arial"/>
          <w:color w:val="333333"/>
          <w:shd w:val="clear" w:color="auto" w:fill="FFFFFF"/>
        </w:rPr>
        <w:t>.</w:t>
      </w:r>
      <w:r w:rsidRPr="00490A72">
        <w:rPr>
          <w:rFonts w:asciiTheme="minorHAnsi" w:hAnsiTheme="minorHAnsi" w:cs="Arial"/>
          <w:color w:val="333333"/>
          <w:shd w:val="clear" w:color="auto" w:fill="FFFFFF"/>
        </w:rPr>
        <w:t xml:space="preserve"> 2016</w:t>
      </w:r>
      <w:r>
        <w:rPr>
          <w:rFonts w:asciiTheme="minorHAnsi" w:hAnsiTheme="minorHAnsi" w:cs="Arial"/>
          <w:color w:val="333333"/>
          <w:shd w:val="clear" w:color="auto" w:fill="FFFFFF"/>
        </w:rPr>
        <w:t>.</w:t>
      </w:r>
      <w:r w:rsidRPr="00490A72">
        <w:rPr>
          <w:rFonts w:asciiTheme="minorHAnsi" w:hAnsiTheme="minorHAnsi" w:cs="Arial"/>
          <w:color w:val="333333"/>
          <w:shd w:val="clear" w:color="auto" w:fill="FFFFFF"/>
        </w:rPr>
        <w:t xml:space="preserve"> Estimating species richness using environmental DNA. </w:t>
      </w:r>
      <w:r w:rsidRPr="00490A72">
        <w:rPr>
          <w:rFonts w:asciiTheme="minorHAnsi" w:hAnsiTheme="minorHAnsi" w:cs="Arial"/>
          <w:i/>
          <w:color w:val="333333"/>
          <w:shd w:val="clear" w:color="auto" w:fill="FFFFFF"/>
        </w:rPr>
        <w:t>Ecology and Evolution</w:t>
      </w:r>
      <w:r w:rsidRPr="00490A72">
        <w:rPr>
          <w:rFonts w:asciiTheme="minorHAnsi" w:hAnsiTheme="minorHAnsi" w:cs="Arial"/>
          <w:color w:val="333333"/>
          <w:shd w:val="clear" w:color="auto" w:fill="FFFFFF"/>
        </w:rPr>
        <w:t xml:space="preserve">, </w:t>
      </w:r>
      <w:r w:rsidR="00665966">
        <w:rPr>
          <w:rFonts w:asciiTheme="minorHAnsi" w:hAnsiTheme="minorHAnsi" w:cs="Arial"/>
          <w:b/>
          <w:color w:val="333333"/>
          <w:shd w:val="clear" w:color="auto" w:fill="FFFFFF"/>
        </w:rPr>
        <w:t>6</w:t>
      </w:r>
      <w:r w:rsidR="00665966" w:rsidRPr="00665966">
        <w:rPr>
          <w:rFonts w:asciiTheme="minorHAnsi" w:hAnsiTheme="minorHAnsi" w:cs="Arial"/>
          <w:color w:val="333333"/>
          <w:shd w:val="clear" w:color="auto" w:fill="FFFFFF"/>
        </w:rPr>
        <w:t>,</w:t>
      </w:r>
      <w:r w:rsidRPr="00490A72">
        <w:rPr>
          <w:rFonts w:asciiTheme="minorHAnsi" w:hAnsiTheme="minorHAnsi" w:cs="Arial"/>
          <w:color w:val="333333"/>
          <w:shd w:val="clear" w:color="auto" w:fill="FFFFFF"/>
        </w:rPr>
        <w:t xml:space="preserve"> </w:t>
      </w:r>
      <w:r w:rsidR="00665966">
        <w:rPr>
          <w:rFonts w:asciiTheme="minorHAnsi" w:hAnsiTheme="minorHAnsi" w:cs="Arial"/>
          <w:color w:val="333333"/>
          <w:shd w:val="clear" w:color="auto" w:fill="FFFFFF"/>
        </w:rPr>
        <w:t xml:space="preserve">4214–4226. </w:t>
      </w:r>
    </w:p>
    <w:p w14:paraId="31C8BDAF" w14:textId="77777777" w:rsidR="00873B87" w:rsidRPr="00873B87" w:rsidRDefault="00873B87" w:rsidP="00873B87">
      <w:pPr>
        <w:pStyle w:val="Reference"/>
        <w:rPr>
          <w:rStyle w:val="normaltextrun"/>
        </w:rPr>
      </w:pPr>
      <w:r w:rsidRPr="00873B87">
        <w:rPr>
          <w:rStyle w:val="normaltextrun"/>
        </w:rPr>
        <w:lastRenderedPageBreak/>
        <w:t xml:space="preserve">Orellana F, </w:t>
      </w:r>
      <w:proofErr w:type="spellStart"/>
      <w:r w:rsidRPr="00873B87">
        <w:rPr>
          <w:rStyle w:val="normaltextrun"/>
        </w:rPr>
        <w:t>Verma</w:t>
      </w:r>
      <w:proofErr w:type="spellEnd"/>
      <w:r w:rsidRPr="00873B87">
        <w:rPr>
          <w:rStyle w:val="normaltextrun"/>
        </w:rPr>
        <w:t xml:space="preserve"> P, </w:t>
      </w:r>
      <w:proofErr w:type="spellStart"/>
      <w:r w:rsidRPr="00873B87">
        <w:rPr>
          <w:rStyle w:val="normaltextrun"/>
        </w:rPr>
        <w:t>Loheide</w:t>
      </w:r>
      <w:proofErr w:type="spellEnd"/>
      <w:r w:rsidRPr="00873B87">
        <w:rPr>
          <w:rStyle w:val="normaltextrun"/>
        </w:rPr>
        <w:t xml:space="preserve"> II SP, Daly E. 2012. Monitoring and modelling water-vegetation interactions in groundwater-dependent ecosystems. </w:t>
      </w:r>
      <w:r w:rsidRPr="00873B87">
        <w:rPr>
          <w:rStyle w:val="normaltextrun"/>
          <w:i/>
        </w:rPr>
        <w:t>Reviews of Geophysics</w:t>
      </w:r>
      <w:r w:rsidRPr="00873B87">
        <w:rPr>
          <w:rStyle w:val="normaltextrun"/>
        </w:rPr>
        <w:t xml:space="preserve">, </w:t>
      </w:r>
      <w:r w:rsidRPr="00873B87">
        <w:rPr>
          <w:rStyle w:val="normaltextrun"/>
          <w:b/>
        </w:rPr>
        <w:t>50</w:t>
      </w:r>
      <w:r w:rsidR="00665966">
        <w:rPr>
          <w:rStyle w:val="normaltextrun"/>
        </w:rPr>
        <w:t xml:space="preserve">, </w:t>
      </w:r>
      <w:r w:rsidRPr="00873B87">
        <w:rPr>
          <w:rStyle w:val="normaltextrun"/>
        </w:rPr>
        <w:t>RG3003</w:t>
      </w:r>
      <w:r w:rsidR="00665966">
        <w:rPr>
          <w:rStyle w:val="normaltextrun"/>
        </w:rPr>
        <w:t>.</w:t>
      </w:r>
    </w:p>
    <w:p w14:paraId="31C8BDB0" w14:textId="77777777" w:rsidR="006D7B7F" w:rsidRPr="006D7B7F" w:rsidRDefault="002C7BE9" w:rsidP="006D7B7F">
      <w:pPr>
        <w:pStyle w:val="Reference"/>
      </w:pPr>
      <w:r w:rsidRPr="00873B87">
        <w:t xml:space="preserve">Richardson S, Ervine E, </w:t>
      </w:r>
      <w:proofErr w:type="spellStart"/>
      <w:r w:rsidRPr="00873B87">
        <w:t>Froend</w:t>
      </w:r>
      <w:proofErr w:type="spellEnd"/>
      <w:r w:rsidRPr="00873B87">
        <w:t xml:space="preserve"> R, Boon P, Barber S, Bonneville B. 2011. Australian Groundwater-dependent Ecosystem Toolbox Part 1: Assessment</w:t>
      </w:r>
      <w:r w:rsidR="00873B87" w:rsidRPr="00873B87">
        <w:t xml:space="preserve"> </w:t>
      </w:r>
      <w:r w:rsidRPr="00873B87">
        <w:t xml:space="preserve">Framework, Waterlines Report. National Water Commission, Canberra </w:t>
      </w:r>
      <w:hyperlink r:id="rId106" w:history="1">
        <w:r w:rsidR="006D7B7F">
          <w:rPr>
            <w:rStyle w:val="Hyperlink"/>
          </w:rPr>
          <w:t>Report Link</w:t>
        </w:r>
      </w:hyperlink>
      <w:r w:rsidR="006D7B7F">
        <w:t>.</w:t>
      </w:r>
    </w:p>
    <w:p w14:paraId="31C8BDB1" w14:textId="77777777" w:rsidR="00274B6F" w:rsidRDefault="00274B6F" w:rsidP="00274B6F">
      <w:pPr>
        <w:pStyle w:val="Reference"/>
      </w:pPr>
      <w:r>
        <w:t xml:space="preserve">Rohde MM, </w:t>
      </w:r>
      <w:proofErr w:type="spellStart"/>
      <w:r>
        <w:t>Froend</w:t>
      </w:r>
      <w:proofErr w:type="spellEnd"/>
      <w:r>
        <w:t xml:space="preserve"> R, Howard J. 2017. A global synthesis of managing </w:t>
      </w:r>
      <w:r w:rsidR="004F60BB">
        <w:t>groundwater-dependent</w:t>
      </w:r>
      <w:r>
        <w:t xml:space="preserve"> ecosystems under sustainable groundwater policy. </w:t>
      </w:r>
      <w:r w:rsidRPr="006D7B7F">
        <w:rPr>
          <w:i/>
        </w:rPr>
        <w:t>Groundwater</w:t>
      </w:r>
      <w:r>
        <w:t xml:space="preserve">, </w:t>
      </w:r>
      <w:r w:rsidRPr="00F6089E">
        <w:rPr>
          <w:b/>
        </w:rPr>
        <w:t>55(3)</w:t>
      </w:r>
      <w:r>
        <w:t>, 293-301.</w:t>
      </w:r>
    </w:p>
    <w:p w14:paraId="31C8BDB2" w14:textId="77777777" w:rsidR="000604B8" w:rsidRDefault="000604B8" w:rsidP="000604B8">
      <w:pPr>
        <w:pStyle w:val="Reference"/>
      </w:pPr>
      <w:r>
        <w:t xml:space="preserve">Rutherford JL, Roy VJ, Johnson SL. 2005. The hydrogeology of </w:t>
      </w:r>
      <w:r w:rsidR="004F60BB">
        <w:t>groundwater-dependent</w:t>
      </w:r>
      <w:r>
        <w:t xml:space="preserve"> ecosystems in Northern Perth Basin. Department of Environment, Hydr</w:t>
      </w:r>
      <w:r w:rsidR="0051541F">
        <w:t>o</w:t>
      </w:r>
      <w:r>
        <w:t xml:space="preserve">geological Record Series, HG11. </w:t>
      </w:r>
      <w:hyperlink r:id="rId107" w:history="1">
        <w:r>
          <w:rPr>
            <w:rStyle w:val="Hyperlink"/>
          </w:rPr>
          <w:t>Report link</w:t>
        </w:r>
      </w:hyperlink>
      <w:r>
        <w:t>.</w:t>
      </w:r>
    </w:p>
    <w:p w14:paraId="31C8BDB3" w14:textId="77777777" w:rsidR="00AC1F4D" w:rsidRPr="008860A2" w:rsidRDefault="00AC1F4D" w:rsidP="00AC1F4D">
      <w:pPr>
        <w:autoSpaceDE w:val="0"/>
        <w:autoSpaceDN w:val="0"/>
        <w:adjustRightInd w:val="0"/>
        <w:spacing w:after="0"/>
        <w:ind w:left="567" w:hanging="567"/>
        <w:rPr>
          <w:rFonts w:asciiTheme="minorHAnsi" w:hAnsiTheme="minorHAnsi" w:cs="Arial"/>
        </w:rPr>
      </w:pPr>
      <w:r w:rsidRPr="008860A2">
        <w:rPr>
          <w:rFonts w:asciiTheme="minorHAnsi" w:hAnsiTheme="minorHAnsi" w:cs="Arial"/>
        </w:rPr>
        <w:t xml:space="preserve">Schulz C, Steward AL, Prior A. 2013. Stygofauna presence within fresh and highly saline aquifers of the border rivers region in southern Queensland. </w:t>
      </w:r>
      <w:r w:rsidRPr="008860A2">
        <w:rPr>
          <w:rFonts w:asciiTheme="minorHAnsi" w:hAnsiTheme="minorHAnsi" w:cs="Arial"/>
          <w:i/>
        </w:rPr>
        <w:t>Proceedings of the Royal Society of Queensland</w:t>
      </w:r>
      <w:r w:rsidRPr="008860A2">
        <w:rPr>
          <w:rFonts w:asciiTheme="minorHAnsi" w:hAnsiTheme="minorHAnsi" w:cs="Arial"/>
        </w:rPr>
        <w:t xml:space="preserve">. </w:t>
      </w:r>
      <w:r w:rsidRPr="008860A2">
        <w:rPr>
          <w:rFonts w:asciiTheme="minorHAnsi" w:hAnsiTheme="minorHAnsi" w:cs="Arial"/>
          <w:b/>
        </w:rPr>
        <w:t>118</w:t>
      </w:r>
      <w:r w:rsidR="00777CA2">
        <w:rPr>
          <w:rFonts w:asciiTheme="minorHAnsi" w:hAnsiTheme="minorHAnsi" w:cs="Arial"/>
        </w:rPr>
        <w:t>,</w:t>
      </w:r>
      <w:r w:rsidRPr="008860A2">
        <w:rPr>
          <w:rFonts w:asciiTheme="minorHAnsi" w:hAnsiTheme="minorHAnsi" w:cs="Arial"/>
        </w:rPr>
        <w:t xml:space="preserve"> 27-35.</w:t>
      </w:r>
    </w:p>
    <w:p w14:paraId="31C8BDB4" w14:textId="77777777" w:rsidR="00311AFA" w:rsidRPr="00311AFA" w:rsidRDefault="00CB37B5" w:rsidP="00311AFA">
      <w:pPr>
        <w:pStyle w:val="Reference"/>
      </w:pPr>
      <w:r w:rsidRPr="00873B87">
        <w:t xml:space="preserve">Serov P, </w:t>
      </w:r>
      <w:proofErr w:type="spellStart"/>
      <w:r w:rsidRPr="00873B87">
        <w:t>Kuginis</w:t>
      </w:r>
      <w:proofErr w:type="spellEnd"/>
      <w:r w:rsidRPr="00873B87">
        <w:t xml:space="preserve"> L, Williams JP. 2012. Risk assessment guidelines for </w:t>
      </w:r>
      <w:r w:rsidR="004F60BB">
        <w:t>groundwater-dependent</w:t>
      </w:r>
      <w:r w:rsidRPr="00873B87">
        <w:t xml:space="preserve"> ecosystems, Volume 1 – The conceptual framework, NSW Primary Industries, Office of Water, Sydney.</w:t>
      </w:r>
      <w:r w:rsidR="00311AFA">
        <w:t xml:space="preserve"> </w:t>
      </w:r>
      <w:hyperlink r:id="rId108" w:history="1">
        <w:r w:rsidR="00311AFA">
          <w:rPr>
            <w:rStyle w:val="Hyperlink"/>
          </w:rPr>
          <w:t>Report Link</w:t>
        </w:r>
      </w:hyperlink>
      <w:r w:rsidR="00311AFA">
        <w:t>.</w:t>
      </w:r>
    </w:p>
    <w:p w14:paraId="31C8BDB5" w14:textId="77777777" w:rsidR="008C338D" w:rsidRPr="00C433CE" w:rsidRDefault="008C338D" w:rsidP="004575C3">
      <w:pPr>
        <w:pStyle w:val="Reference"/>
      </w:pPr>
      <w:proofErr w:type="spellStart"/>
      <w:r>
        <w:t>Shogren</w:t>
      </w:r>
      <w:proofErr w:type="spellEnd"/>
      <w:r>
        <w:t xml:space="preserve"> AJ, Tank JL, </w:t>
      </w:r>
      <w:proofErr w:type="spellStart"/>
      <w:r>
        <w:t>Andruszkiewicz</w:t>
      </w:r>
      <w:proofErr w:type="spellEnd"/>
      <w:r>
        <w:t xml:space="preserve"> E, Olds B, Mahon AR, </w:t>
      </w:r>
      <w:proofErr w:type="spellStart"/>
      <w:r>
        <w:t>Jerde</w:t>
      </w:r>
      <w:proofErr w:type="spellEnd"/>
      <w:r>
        <w:t xml:space="preserve"> CL, Bolster D. 2017. Controls on </w:t>
      </w:r>
      <w:proofErr w:type="spellStart"/>
      <w:proofErr w:type="gramStart"/>
      <w:r>
        <w:t>eDNA</w:t>
      </w:r>
      <w:proofErr w:type="spellEnd"/>
      <w:proofErr w:type="gramEnd"/>
      <w:r>
        <w:t xml:space="preserve"> movement in streams: transport, retention, and resuspension. </w:t>
      </w:r>
      <w:r w:rsidRPr="008C338D">
        <w:rPr>
          <w:i/>
        </w:rPr>
        <w:t>Nature</w:t>
      </w:r>
      <w:r>
        <w:t>,</w:t>
      </w:r>
      <w:r w:rsidRPr="004575C3">
        <w:rPr>
          <w:b/>
        </w:rPr>
        <w:t xml:space="preserve"> </w:t>
      </w:r>
      <w:r w:rsidRPr="008C338D">
        <w:rPr>
          <w:b/>
        </w:rPr>
        <w:t>7</w:t>
      </w:r>
      <w:r w:rsidR="000D1A24">
        <w:t xml:space="preserve">, </w:t>
      </w:r>
      <w:r>
        <w:t xml:space="preserve">5065. </w:t>
      </w:r>
    </w:p>
    <w:p w14:paraId="31C8BDB6" w14:textId="77777777" w:rsidR="000D1A24" w:rsidRDefault="00AC1F4D" w:rsidP="000D1A24">
      <w:pPr>
        <w:pStyle w:val="Reference"/>
      </w:pPr>
      <w:r w:rsidRPr="00AC1F4D">
        <w:t xml:space="preserve">Sinclair Knight </w:t>
      </w:r>
      <w:proofErr w:type="spellStart"/>
      <w:r w:rsidRPr="00AC1F4D">
        <w:t>Merz</w:t>
      </w:r>
      <w:proofErr w:type="spellEnd"/>
      <w:r w:rsidRPr="00AC1F4D">
        <w:t xml:space="preserve">, CSIRO, 2012. Atlas of </w:t>
      </w:r>
      <w:r w:rsidR="004F60BB">
        <w:t>Groundwater-dependent</w:t>
      </w:r>
      <w:r w:rsidRPr="00AC1F4D">
        <w:t xml:space="preserve"> Ecosystems (GDE Atlas), Phase 2. Task 5 Report: Identifying and mapping GDEs.</w:t>
      </w:r>
      <w:r w:rsidR="00382310">
        <w:t xml:space="preserve"> </w:t>
      </w:r>
      <w:r w:rsidRPr="00AC1F4D">
        <w:t xml:space="preserve">Report for the National Water Commission. </w:t>
      </w:r>
      <w:hyperlink r:id="rId109" w:history="1">
        <w:r w:rsidR="000D1A24">
          <w:rPr>
            <w:rStyle w:val="Hyperlink"/>
          </w:rPr>
          <w:t>Report Link</w:t>
        </w:r>
      </w:hyperlink>
      <w:r w:rsidR="000D1A24">
        <w:t>.</w:t>
      </w:r>
    </w:p>
    <w:p w14:paraId="31C8BDB7" w14:textId="77777777" w:rsidR="00FD21B0" w:rsidRDefault="00FD21B0" w:rsidP="00FD21B0">
      <w:pPr>
        <w:pStyle w:val="Reference"/>
        <w:rPr>
          <w:rStyle w:val="normaltextrun"/>
        </w:rPr>
      </w:pPr>
      <w:r w:rsidRPr="004575C3">
        <w:rPr>
          <w:rStyle w:val="normaltextrun"/>
        </w:rPr>
        <w:t>Sommer B</w:t>
      </w:r>
      <w:r>
        <w:rPr>
          <w:rStyle w:val="normaltextrun"/>
        </w:rPr>
        <w:t xml:space="preserve">, </w:t>
      </w:r>
      <w:proofErr w:type="spellStart"/>
      <w:r w:rsidRPr="004575C3">
        <w:rPr>
          <w:rStyle w:val="normaltextrun"/>
        </w:rPr>
        <w:t>Froend</w:t>
      </w:r>
      <w:proofErr w:type="spellEnd"/>
      <w:r w:rsidRPr="004575C3">
        <w:rPr>
          <w:rStyle w:val="normaltextrun"/>
        </w:rPr>
        <w:t xml:space="preserve"> R</w:t>
      </w:r>
      <w:r>
        <w:rPr>
          <w:rStyle w:val="normaltextrun"/>
        </w:rPr>
        <w:t>.</w:t>
      </w:r>
      <w:r w:rsidRPr="004575C3">
        <w:rPr>
          <w:rStyle w:val="normaltextrun"/>
        </w:rPr>
        <w:t xml:space="preserve"> 2010. </w:t>
      </w:r>
      <w:proofErr w:type="spellStart"/>
      <w:r w:rsidRPr="004575C3">
        <w:rPr>
          <w:rStyle w:val="normaltextrun"/>
        </w:rPr>
        <w:t>Phreatophytic</w:t>
      </w:r>
      <w:proofErr w:type="spellEnd"/>
      <w:r w:rsidRPr="004575C3">
        <w:rPr>
          <w:rStyle w:val="normaltextrun"/>
        </w:rPr>
        <w:t xml:space="preserve"> vegetation response to climatic and abstraction-induced groundwater drawdown: examples of long-term spatial and temporal variability in community response. Ecological Engineering, </w:t>
      </w:r>
      <w:r w:rsidRPr="00FC5E3F">
        <w:rPr>
          <w:rStyle w:val="normaltextrun"/>
          <w:b/>
        </w:rPr>
        <w:t>36</w:t>
      </w:r>
      <w:r>
        <w:rPr>
          <w:rStyle w:val="normaltextrun"/>
        </w:rPr>
        <w:t>,</w:t>
      </w:r>
      <w:r w:rsidRPr="004575C3">
        <w:rPr>
          <w:rStyle w:val="normaltextrun"/>
        </w:rPr>
        <w:t xml:space="preserve"> 1191-1200.</w:t>
      </w:r>
    </w:p>
    <w:p w14:paraId="31C8BDB8" w14:textId="77777777" w:rsidR="008C338D" w:rsidRPr="00BB4399" w:rsidRDefault="00FD21B0" w:rsidP="00FD21B0">
      <w:pPr>
        <w:pStyle w:val="Reference"/>
      </w:pPr>
      <w:r>
        <w:rPr>
          <w:rStyle w:val="normaltextrun"/>
        </w:rPr>
        <w:t>So</w:t>
      </w:r>
      <w:r w:rsidR="008C338D">
        <w:t xml:space="preserve">mmer B, Horwitz P. 2009. Macroinvertebrate cycles of decline and recovery in Swan Coastal Plain (Western Australia) wetlands affected by drought-induced acidification. </w:t>
      </w:r>
      <w:proofErr w:type="spellStart"/>
      <w:r w:rsidR="008C338D" w:rsidRPr="008C338D">
        <w:rPr>
          <w:i/>
        </w:rPr>
        <w:t>Hydrobiologia</w:t>
      </w:r>
      <w:proofErr w:type="spellEnd"/>
      <w:r w:rsidR="008C338D">
        <w:t xml:space="preserve">, </w:t>
      </w:r>
      <w:r w:rsidR="008C338D" w:rsidRPr="008C338D">
        <w:rPr>
          <w:b/>
        </w:rPr>
        <w:t>624</w:t>
      </w:r>
      <w:r w:rsidR="000D1A24">
        <w:rPr>
          <w:b/>
        </w:rPr>
        <w:t xml:space="preserve">, </w:t>
      </w:r>
      <w:r w:rsidR="008C338D">
        <w:t>191–203.</w:t>
      </w:r>
    </w:p>
    <w:p w14:paraId="31C8BDB9" w14:textId="77777777" w:rsidR="00F24C02" w:rsidRPr="00F24C02" w:rsidRDefault="00102EC7" w:rsidP="00F24C02">
      <w:pPr>
        <w:pStyle w:val="Reference"/>
      </w:pPr>
      <w:r w:rsidRPr="00873B87">
        <w:rPr>
          <w:rStyle w:val="normaltextrun"/>
        </w:rPr>
        <w:t>South Australian EPA. 2017. Guidelines for stockpile management: Waste and waste derived products for recycling and reuse. Updated April 2017. Environmental Protection Authority, Adelaide. </w:t>
      </w:r>
      <w:r w:rsidRPr="00873B87">
        <w:rPr>
          <w:rStyle w:val="eop"/>
        </w:rPr>
        <w:t> </w:t>
      </w:r>
    </w:p>
    <w:p w14:paraId="31C8BDBA" w14:textId="77777777" w:rsidR="00156AB1" w:rsidRPr="008860A2" w:rsidRDefault="00156AB1" w:rsidP="00156AB1">
      <w:pPr>
        <w:autoSpaceDE w:val="0"/>
        <w:autoSpaceDN w:val="0"/>
        <w:adjustRightInd w:val="0"/>
        <w:spacing w:after="0"/>
        <w:ind w:left="567" w:hanging="567"/>
        <w:rPr>
          <w:rFonts w:asciiTheme="minorHAnsi" w:hAnsiTheme="minorHAnsi" w:cs="Arial"/>
        </w:rPr>
      </w:pPr>
      <w:r w:rsidRPr="008860A2">
        <w:rPr>
          <w:rFonts w:asciiTheme="minorHAnsi" w:hAnsiTheme="minorHAnsi" w:cs="Arial"/>
        </w:rPr>
        <w:t xml:space="preserve">Strayer DL. 1994. Limits to biological distributions in groundwater. In </w:t>
      </w:r>
      <w:r w:rsidRPr="008860A2">
        <w:rPr>
          <w:rFonts w:asciiTheme="minorHAnsi" w:hAnsiTheme="minorHAnsi" w:cs="Arial"/>
          <w:i/>
        </w:rPr>
        <w:t>Groundwater Ecology</w:t>
      </w:r>
      <w:r w:rsidR="000A5FFB">
        <w:rPr>
          <w:rFonts w:asciiTheme="minorHAnsi" w:hAnsiTheme="minorHAnsi" w:cs="Arial"/>
        </w:rPr>
        <w:t xml:space="preserve">. </w:t>
      </w:r>
      <w:proofErr w:type="spellStart"/>
      <w:r w:rsidRPr="008860A2">
        <w:rPr>
          <w:rFonts w:asciiTheme="minorHAnsi" w:hAnsiTheme="minorHAnsi" w:cs="Arial"/>
        </w:rPr>
        <w:t>Gibert</w:t>
      </w:r>
      <w:proofErr w:type="spellEnd"/>
      <w:r w:rsidR="00F24C02">
        <w:rPr>
          <w:rFonts w:asciiTheme="minorHAnsi" w:hAnsiTheme="minorHAnsi" w:cs="Arial"/>
        </w:rPr>
        <w:t xml:space="preserve"> J</w:t>
      </w:r>
      <w:r w:rsidRPr="008860A2">
        <w:rPr>
          <w:rFonts w:asciiTheme="minorHAnsi" w:hAnsiTheme="minorHAnsi" w:cs="Arial"/>
        </w:rPr>
        <w:t xml:space="preserve">, </w:t>
      </w:r>
      <w:proofErr w:type="spellStart"/>
      <w:r w:rsidRPr="008860A2">
        <w:rPr>
          <w:rFonts w:asciiTheme="minorHAnsi" w:hAnsiTheme="minorHAnsi" w:cs="Arial"/>
        </w:rPr>
        <w:t>Danielopol</w:t>
      </w:r>
      <w:proofErr w:type="spellEnd"/>
      <w:r w:rsidR="00F24C02">
        <w:rPr>
          <w:rFonts w:asciiTheme="minorHAnsi" w:hAnsiTheme="minorHAnsi" w:cs="Arial"/>
        </w:rPr>
        <w:t xml:space="preserve"> DL</w:t>
      </w:r>
      <w:r w:rsidRPr="008860A2">
        <w:rPr>
          <w:rFonts w:asciiTheme="minorHAnsi" w:hAnsiTheme="minorHAnsi" w:cs="Arial"/>
        </w:rPr>
        <w:t>, Stanford</w:t>
      </w:r>
      <w:r w:rsidR="00F24C02">
        <w:rPr>
          <w:rFonts w:asciiTheme="minorHAnsi" w:hAnsiTheme="minorHAnsi" w:cs="Arial"/>
        </w:rPr>
        <w:t xml:space="preserve"> JA. (</w:t>
      </w:r>
      <w:proofErr w:type="spellStart"/>
      <w:proofErr w:type="gramStart"/>
      <w:r w:rsidR="00F24C02" w:rsidRPr="008860A2">
        <w:rPr>
          <w:rFonts w:asciiTheme="minorHAnsi" w:hAnsiTheme="minorHAnsi" w:cs="Arial"/>
        </w:rPr>
        <w:t>eds</w:t>
      </w:r>
      <w:proofErr w:type="spellEnd"/>
      <w:proofErr w:type="gramEnd"/>
      <w:r w:rsidRPr="008860A2">
        <w:rPr>
          <w:rFonts w:asciiTheme="minorHAnsi" w:hAnsiTheme="minorHAnsi" w:cs="Arial"/>
        </w:rPr>
        <w:t>). Academic Press, San Diego, 287-310.</w:t>
      </w:r>
    </w:p>
    <w:p w14:paraId="31C8BDBB" w14:textId="77777777" w:rsidR="00AD7B85" w:rsidRDefault="00AD7B85" w:rsidP="00AD7B85">
      <w:pPr>
        <w:pStyle w:val="Reference"/>
      </w:pPr>
      <w:proofErr w:type="gramStart"/>
      <w:r>
        <w:t>van</w:t>
      </w:r>
      <w:proofErr w:type="gramEnd"/>
      <w:r>
        <w:t xml:space="preserve"> </w:t>
      </w:r>
      <w:proofErr w:type="spellStart"/>
      <w:r>
        <w:t>Leeuwen</w:t>
      </w:r>
      <w:proofErr w:type="spellEnd"/>
      <w:r>
        <w:t xml:space="preserve">. 2009. Biodiversity values of </w:t>
      </w:r>
      <w:proofErr w:type="spellStart"/>
      <w:r>
        <w:t>Weeli</w:t>
      </w:r>
      <w:proofErr w:type="spellEnd"/>
      <w:r>
        <w:t xml:space="preserve"> Wolli Spring: a priority ecological community. Information Sheet 3/2009. Science Division, DEC, Western Australia. </w:t>
      </w:r>
      <w:hyperlink r:id="rId110" w:history="1">
        <w:r>
          <w:rPr>
            <w:rStyle w:val="Hyperlink"/>
          </w:rPr>
          <w:t>Report Link</w:t>
        </w:r>
      </w:hyperlink>
      <w:r>
        <w:t>.</w:t>
      </w:r>
    </w:p>
    <w:p w14:paraId="31C8BDBC" w14:textId="77777777" w:rsidR="00CE4A24" w:rsidRDefault="00CE4A24" w:rsidP="00CE4A24">
      <w:pPr>
        <w:pStyle w:val="Reference"/>
        <w:rPr>
          <w:rStyle w:val="Hyperlink"/>
        </w:rPr>
      </w:pPr>
      <w:r w:rsidRPr="00873B87">
        <w:rPr>
          <w:rStyle w:val="normaltextrun"/>
        </w:rPr>
        <w:t>W</w:t>
      </w:r>
      <w:r w:rsidR="00527AEE">
        <w:rPr>
          <w:rStyle w:val="normaltextrun"/>
        </w:rPr>
        <w:t xml:space="preserve">ater </w:t>
      </w:r>
      <w:r w:rsidRPr="00873B87">
        <w:rPr>
          <w:rStyle w:val="normaltextrun"/>
        </w:rPr>
        <w:t>A</w:t>
      </w:r>
      <w:r w:rsidR="000A5FFB">
        <w:rPr>
          <w:rStyle w:val="normaltextrun"/>
        </w:rPr>
        <w:t>ct</w:t>
      </w:r>
      <w:r w:rsidRPr="00873B87">
        <w:rPr>
          <w:rStyle w:val="normaltextrun"/>
        </w:rPr>
        <w:t xml:space="preserve">. 2007. Water Act 2007. Commonwealth of Australia. </w:t>
      </w:r>
      <w:hyperlink r:id="rId111" w:history="1">
        <w:r w:rsidR="00F24C02">
          <w:rPr>
            <w:rStyle w:val="Hyperlink"/>
          </w:rPr>
          <w:t>Report Link</w:t>
        </w:r>
      </w:hyperlink>
      <w:r w:rsidR="00F24C02">
        <w:rPr>
          <w:rStyle w:val="Hyperlink"/>
        </w:rPr>
        <w:t>.</w:t>
      </w:r>
    </w:p>
    <w:p w14:paraId="31C8BDBD" w14:textId="77777777" w:rsidR="00D56113" w:rsidRDefault="00D56113" w:rsidP="00D56113">
      <w:pPr>
        <w:pStyle w:val="BodyText"/>
        <w:ind w:left="567" w:hanging="567"/>
      </w:pPr>
      <w:r>
        <w:t xml:space="preserve">WA EPA. 2003. Consideration of subterranean fauna in groundwater and caves during environmental impact assessment in Western Australia (Guidance Statement 54). Environmental Protection Authority. </w:t>
      </w:r>
      <w:r w:rsidR="00965F77">
        <w:rPr>
          <w:color w:val="auto"/>
        </w:rPr>
        <w:t xml:space="preserve">Updated December 2016. </w:t>
      </w:r>
      <w:hyperlink r:id="rId112" w:history="1">
        <w:r w:rsidR="00965F77">
          <w:rPr>
            <w:rStyle w:val="Hyperlink"/>
          </w:rPr>
          <w:t>Report Link</w:t>
        </w:r>
      </w:hyperlink>
      <w:r w:rsidR="00965F77">
        <w:t>.</w:t>
      </w:r>
    </w:p>
    <w:p w14:paraId="31C8BDBE" w14:textId="77777777" w:rsidR="00F24C02" w:rsidRDefault="00D56113" w:rsidP="00D56113">
      <w:pPr>
        <w:pStyle w:val="BodyText"/>
        <w:ind w:left="567" w:hanging="567"/>
      </w:pPr>
      <w:r>
        <w:t>WA EPA. 2007. Sampling methods and survey considerations for subterranean fauna in Western Australia (Guidance Statement 54a) draft. Perth, Environmental Protection Authority.</w:t>
      </w:r>
      <w:r w:rsidR="00F24C02">
        <w:t xml:space="preserve"> </w:t>
      </w:r>
      <w:r w:rsidR="00965F77">
        <w:rPr>
          <w:color w:val="auto"/>
        </w:rPr>
        <w:t xml:space="preserve">Updated December 2016. </w:t>
      </w:r>
      <w:hyperlink r:id="rId113" w:history="1">
        <w:r w:rsidR="00F24C02">
          <w:rPr>
            <w:rStyle w:val="Hyperlink"/>
          </w:rPr>
          <w:t>Report Link</w:t>
        </w:r>
      </w:hyperlink>
      <w:r w:rsidR="00F24C02">
        <w:t>.</w:t>
      </w:r>
    </w:p>
    <w:p w14:paraId="31C8BDBF" w14:textId="77777777" w:rsidR="00D56113" w:rsidRDefault="00D56113" w:rsidP="00D56113">
      <w:pPr>
        <w:pStyle w:val="BodyText"/>
        <w:ind w:left="567" w:hanging="567"/>
        <w:rPr>
          <w:color w:val="auto"/>
        </w:rPr>
      </w:pPr>
      <w:r>
        <w:t>WA EPA. 2016. Consideration of</w:t>
      </w:r>
      <w:r w:rsidRPr="00D3494F">
        <w:rPr>
          <w:color w:val="auto"/>
        </w:rPr>
        <w:t xml:space="preserve"> </w:t>
      </w:r>
      <w:r>
        <w:rPr>
          <w:color w:val="auto"/>
        </w:rPr>
        <w:t>Subterranean Fauna in Environmental Impact Assessment in WA. Environmental Assessment Guideline No. 12. Environm</w:t>
      </w:r>
      <w:r w:rsidR="00965F77">
        <w:rPr>
          <w:color w:val="auto"/>
        </w:rPr>
        <w:t>ental Protection Authority 2013.</w:t>
      </w:r>
      <w:r>
        <w:rPr>
          <w:color w:val="auto"/>
        </w:rPr>
        <w:t xml:space="preserve"> </w:t>
      </w:r>
      <w:r w:rsidR="00965F77">
        <w:rPr>
          <w:color w:val="auto"/>
        </w:rPr>
        <w:t>U</w:t>
      </w:r>
      <w:r>
        <w:rPr>
          <w:color w:val="auto"/>
        </w:rPr>
        <w:t>pdated December 2016.</w:t>
      </w:r>
      <w:r w:rsidR="00965F77">
        <w:rPr>
          <w:color w:val="auto"/>
        </w:rPr>
        <w:t xml:space="preserve"> </w:t>
      </w:r>
      <w:hyperlink r:id="rId114" w:history="1">
        <w:r w:rsidR="00965F77">
          <w:rPr>
            <w:rStyle w:val="Hyperlink"/>
          </w:rPr>
          <w:t>Report Link</w:t>
        </w:r>
      </w:hyperlink>
      <w:r w:rsidR="00965F77">
        <w:t>.</w:t>
      </w:r>
    </w:p>
    <w:p w14:paraId="31C8BDC0" w14:textId="77777777" w:rsidR="00156AB1" w:rsidRDefault="00156AB1" w:rsidP="00156AB1">
      <w:pPr>
        <w:autoSpaceDE w:val="0"/>
        <w:autoSpaceDN w:val="0"/>
        <w:adjustRightInd w:val="0"/>
        <w:spacing w:before="120" w:line="264" w:lineRule="auto"/>
        <w:ind w:left="567" w:hanging="567"/>
        <w:rPr>
          <w:rFonts w:asciiTheme="minorHAnsi" w:hAnsiTheme="minorHAnsi" w:cs="Arial"/>
        </w:rPr>
      </w:pPr>
      <w:r w:rsidRPr="008860A2">
        <w:rPr>
          <w:rFonts w:asciiTheme="minorHAnsi" w:hAnsiTheme="minorHAnsi" w:cs="Arial"/>
        </w:rPr>
        <w:t xml:space="preserve">Watts CHS, Humphreys WF. 2009. Fourteen new </w:t>
      </w:r>
      <w:proofErr w:type="spellStart"/>
      <w:r w:rsidRPr="008860A2">
        <w:rPr>
          <w:rFonts w:asciiTheme="minorHAnsi" w:hAnsiTheme="minorHAnsi" w:cs="Arial"/>
        </w:rPr>
        <w:t>Dytiscidae</w:t>
      </w:r>
      <w:proofErr w:type="spellEnd"/>
      <w:r w:rsidRPr="008860A2">
        <w:rPr>
          <w:rFonts w:asciiTheme="minorHAnsi" w:hAnsiTheme="minorHAnsi" w:cs="Arial"/>
        </w:rPr>
        <w:t xml:space="preserve"> (</w:t>
      </w:r>
      <w:proofErr w:type="spellStart"/>
      <w:r w:rsidRPr="008860A2">
        <w:rPr>
          <w:rFonts w:asciiTheme="minorHAnsi" w:hAnsiTheme="minorHAnsi" w:cs="Arial"/>
        </w:rPr>
        <w:t>Coleoptera</w:t>
      </w:r>
      <w:proofErr w:type="spellEnd"/>
      <w:r w:rsidRPr="008860A2">
        <w:rPr>
          <w:rFonts w:asciiTheme="minorHAnsi" w:hAnsiTheme="minorHAnsi" w:cs="Arial"/>
        </w:rPr>
        <w:t xml:space="preserve">) of the genera </w:t>
      </w:r>
      <w:proofErr w:type="spellStart"/>
      <w:r w:rsidRPr="008860A2">
        <w:rPr>
          <w:rFonts w:asciiTheme="minorHAnsi" w:hAnsiTheme="minorHAnsi" w:cs="Arial"/>
          <w:i/>
          <w:iCs/>
        </w:rPr>
        <w:t>Limbodessus</w:t>
      </w:r>
      <w:proofErr w:type="spellEnd"/>
      <w:r w:rsidRPr="008860A2">
        <w:rPr>
          <w:rFonts w:asciiTheme="minorHAnsi" w:hAnsiTheme="minorHAnsi" w:cs="Arial"/>
          <w:i/>
          <w:iCs/>
        </w:rPr>
        <w:t xml:space="preserve"> </w:t>
      </w:r>
      <w:proofErr w:type="spellStart"/>
      <w:r w:rsidRPr="008860A2">
        <w:rPr>
          <w:rFonts w:asciiTheme="minorHAnsi" w:hAnsiTheme="minorHAnsi" w:cs="Arial"/>
        </w:rPr>
        <w:t>Guignot</w:t>
      </w:r>
      <w:proofErr w:type="spellEnd"/>
      <w:r w:rsidRPr="008860A2">
        <w:rPr>
          <w:rFonts w:asciiTheme="minorHAnsi" w:hAnsiTheme="minorHAnsi" w:cs="Arial"/>
        </w:rPr>
        <w:t xml:space="preserve">, </w:t>
      </w:r>
      <w:proofErr w:type="spellStart"/>
      <w:r w:rsidRPr="008860A2">
        <w:rPr>
          <w:rFonts w:asciiTheme="minorHAnsi" w:hAnsiTheme="minorHAnsi" w:cs="Arial"/>
          <w:i/>
          <w:iCs/>
        </w:rPr>
        <w:t>Paroster</w:t>
      </w:r>
      <w:proofErr w:type="spellEnd"/>
      <w:r w:rsidRPr="008860A2">
        <w:rPr>
          <w:rFonts w:asciiTheme="minorHAnsi" w:hAnsiTheme="minorHAnsi" w:cs="Arial"/>
          <w:i/>
          <w:iCs/>
        </w:rPr>
        <w:t xml:space="preserve"> </w:t>
      </w:r>
      <w:r w:rsidRPr="008860A2">
        <w:rPr>
          <w:rFonts w:asciiTheme="minorHAnsi" w:hAnsiTheme="minorHAnsi" w:cs="Arial"/>
        </w:rPr>
        <w:t xml:space="preserve">Sharp and </w:t>
      </w:r>
      <w:proofErr w:type="spellStart"/>
      <w:r w:rsidRPr="008860A2">
        <w:rPr>
          <w:rFonts w:asciiTheme="minorHAnsi" w:hAnsiTheme="minorHAnsi" w:cs="Arial"/>
          <w:i/>
          <w:iCs/>
        </w:rPr>
        <w:t>Exocelina</w:t>
      </w:r>
      <w:proofErr w:type="spellEnd"/>
      <w:r w:rsidRPr="008860A2">
        <w:rPr>
          <w:rFonts w:asciiTheme="minorHAnsi" w:hAnsiTheme="minorHAnsi" w:cs="Arial"/>
          <w:i/>
          <w:iCs/>
        </w:rPr>
        <w:t xml:space="preserve"> </w:t>
      </w:r>
      <w:r w:rsidRPr="008860A2">
        <w:rPr>
          <w:rFonts w:asciiTheme="minorHAnsi" w:hAnsiTheme="minorHAnsi" w:cs="Arial"/>
        </w:rPr>
        <w:t xml:space="preserve">Broun, from underground waters in Australia. </w:t>
      </w:r>
      <w:r w:rsidRPr="008860A2">
        <w:rPr>
          <w:rFonts w:asciiTheme="minorHAnsi" w:hAnsiTheme="minorHAnsi" w:cs="Arial"/>
          <w:i/>
        </w:rPr>
        <w:t>Transactions of the Royal Society of South Australia</w:t>
      </w:r>
      <w:r w:rsidR="00965F77">
        <w:rPr>
          <w:rFonts w:asciiTheme="minorHAnsi" w:hAnsiTheme="minorHAnsi" w:cs="Arial"/>
        </w:rPr>
        <w:t>,</w:t>
      </w:r>
      <w:r w:rsidRPr="008860A2">
        <w:rPr>
          <w:rFonts w:asciiTheme="minorHAnsi" w:hAnsiTheme="minorHAnsi" w:cs="Arial"/>
        </w:rPr>
        <w:t xml:space="preserve"> </w:t>
      </w:r>
      <w:r w:rsidRPr="008860A2">
        <w:rPr>
          <w:rFonts w:asciiTheme="minorHAnsi" w:hAnsiTheme="minorHAnsi" w:cs="Arial"/>
          <w:b/>
        </w:rPr>
        <w:t>133</w:t>
      </w:r>
      <w:r w:rsidR="00965F77">
        <w:rPr>
          <w:rFonts w:asciiTheme="minorHAnsi" w:hAnsiTheme="minorHAnsi" w:cs="Arial"/>
        </w:rPr>
        <w:t xml:space="preserve">, </w:t>
      </w:r>
      <w:r w:rsidRPr="008860A2">
        <w:rPr>
          <w:rFonts w:asciiTheme="minorHAnsi" w:hAnsiTheme="minorHAnsi" w:cs="Arial"/>
        </w:rPr>
        <w:t>62</w:t>
      </w:r>
      <w:r w:rsidR="00965F77">
        <w:rPr>
          <w:rFonts w:asciiTheme="minorHAnsi" w:hAnsiTheme="minorHAnsi" w:cs="Arial"/>
        </w:rPr>
        <w:t>-</w:t>
      </w:r>
      <w:r w:rsidRPr="008860A2">
        <w:rPr>
          <w:rFonts w:asciiTheme="minorHAnsi" w:hAnsiTheme="minorHAnsi" w:cs="Arial"/>
        </w:rPr>
        <w:t>107.</w:t>
      </w:r>
    </w:p>
    <w:p w14:paraId="31C8BDC1" w14:textId="77777777" w:rsidR="00AD7B85" w:rsidRDefault="00AD7B85" w:rsidP="00AD7B85">
      <w:pPr>
        <w:pStyle w:val="Reference"/>
      </w:pPr>
      <w:r>
        <w:t xml:space="preserve">WRM. 2015. Iron Valley Project Potential Impacts to Aquatic Systems: Literature Review. Unpublished report by Wetland Research &amp; Management to BC Iron Limited. Final Report. September 2015. </w:t>
      </w:r>
      <w:hyperlink r:id="rId115" w:history="1">
        <w:r>
          <w:rPr>
            <w:rStyle w:val="Hyperlink"/>
          </w:rPr>
          <w:t>Report Link</w:t>
        </w:r>
      </w:hyperlink>
      <w:r>
        <w:t>.</w:t>
      </w:r>
    </w:p>
    <w:p w14:paraId="31C8BDC2" w14:textId="77777777" w:rsidR="00156AB1" w:rsidRPr="00156AB1" w:rsidRDefault="00156AB1" w:rsidP="00156AB1">
      <w:pPr>
        <w:pStyle w:val="BodyText"/>
      </w:pPr>
    </w:p>
    <w:p w14:paraId="31C8BDC3" w14:textId="77777777" w:rsidR="00CA1304" w:rsidRDefault="00CA1304" w:rsidP="00CA1304">
      <w:pPr>
        <w:pStyle w:val="Heading9"/>
      </w:pPr>
      <w:bookmarkStart w:id="92" w:name="_Toc509996504"/>
      <w:r>
        <w:lastRenderedPageBreak/>
        <w:t>Impacts</w:t>
      </w:r>
      <w:bookmarkEnd w:id="92"/>
    </w:p>
    <w:p w14:paraId="31C8BDC4" w14:textId="77777777" w:rsidR="00CA1304" w:rsidRPr="003E1A05" w:rsidRDefault="00BB1DD0" w:rsidP="00CA1304">
      <w:pPr>
        <w:pStyle w:val="Caption"/>
        <w:rPr>
          <w:b/>
          <w:color w:val="000000" w:themeColor="text1"/>
        </w:rPr>
      </w:pPr>
      <w:bookmarkStart w:id="93" w:name="_Ref509484152"/>
      <w:bookmarkStart w:id="94" w:name="_Toc509991053"/>
      <w:r>
        <w:t>App</w:t>
      </w:r>
      <w:r w:rsidR="00CA1304">
        <w:t xml:space="preserve"> Table </w:t>
      </w:r>
      <w:r w:rsidR="00085933">
        <w:fldChar w:fldCharType="begin"/>
      </w:r>
      <w:r w:rsidR="00085933">
        <w:instrText xml:space="preserve"> SEQ Apx_Table \* ARABIC </w:instrText>
      </w:r>
      <w:r w:rsidR="00085933">
        <w:fldChar w:fldCharType="separate"/>
      </w:r>
      <w:r w:rsidR="00E96B43">
        <w:rPr>
          <w:noProof/>
        </w:rPr>
        <w:t>1</w:t>
      </w:r>
      <w:r w:rsidR="00085933">
        <w:rPr>
          <w:noProof/>
        </w:rPr>
        <w:fldChar w:fldCharType="end"/>
      </w:r>
      <w:bookmarkEnd w:id="93"/>
      <w:r w:rsidR="00CA1304" w:rsidRPr="003E1A05">
        <w:rPr>
          <w:color w:val="000000" w:themeColor="text1"/>
        </w:rPr>
        <w:t xml:space="preserve">. Activities in </w:t>
      </w:r>
      <w:r w:rsidR="006628D5">
        <w:rPr>
          <w:color w:val="000000" w:themeColor="text1"/>
        </w:rPr>
        <w:t>CSG</w:t>
      </w:r>
      <w:r w:rsidR="00CA1304" w:rsidRPr="003E1A05">
        <w:rPr>
          <w:color w:val="000000" w:themeColor="text1"/>
        </w:rPr>
        <w:t xml:space="preserve"> and </w:t>
      </w:r>
      <w:r w:rsidR="006628D5">
        <w:rPr>
          <w:color w:val="000000" w:themeColor="text1"/>
        </w:rPr>
        <w:t>LCM</w:t>
      </w:r>
      <w:r w:rsidR="00CA1304" w:rsidRPr="003E1A05">
        <w:rPr>
          <w:color w:val="000000" w:themeColor="text1"/>
        </w:rPr>
        <w:t xml:space="preserve"> development that potentially impact on GDEs. </w:t>
      </w:r>
      <w:r w:rsidR="00CA1304" w:rsidRPr="003E1A05">
        <w:rPr>
          <w:rStyle w:val="normaltextrun"/>
          <w:color w:val="000000" w:themeColor="text1"/>
        </w:rPr>
        <w:t xml:space="preserve">These activities present risks to GDEs that </w:t>
      </w:r>
      <w:r w:rsidR="00BF565F">
        <w:rPr>
          <w:rStyle w:val="normaltextrun"/>
          <w:color w:val="000000" w:themeColor="text1"/>
        </w:rPr>
        <w:t xml:space="preserve">include </w:t>
      </w:r>
      <w:r w:rsidR="00CA1304" w:rsidRPr="003E1A05">
        <w:rPr>
          <w:rStyle w:val="normaltextrun"/>
          <w:color w:val="000000" w:themeColor="text1"/>
        </w:rPr>
        <w:t>alter</w:t>
      </w:r>
      <w:r w:rsidR="00BF565F">
        <w:rPr>
          <w:rStyle w:val="normaltextrun"/>
          <w:color w:val="000000" w:themeColor="text1"/>
        </w:rPr>
        <w:t>ing</w:t>
      </w:r>
      <w:r w:rsidR="00CA1304" w:rsidRPr="003E1A05">
        <w:rPr>
          <w:rStyle w:val="normaltextrun"/>
          <w:color w:val="000000" w:themeColor="text1"/>
        </w:rPr>
        <w:t xml:space="preserve"> the number of native species and species composition within GDE communities; disrupt</w:t>
      </w:r>
      <w:r w:rsidR="00BF565F">
        <w:rPr>
          <w:rStyle w:val="normaltextrun"/>
          <w:color w:val="000000" w:themeColor="text1"/>
        </w:rPr>
        <w:t>ing</w:t>
      </w:r>
      <w:r w:rsidR="00CA1304" w:rsidRPr="003E1A05">
        <w:rPr>
          <w:rStyle w:val="normaltextrun"/>
          <w:color w:val="000000" w:themeColor="text1"/>
        </w:rPr>
        <w:t xml:space="preserve"> ecological processes that deliver ecosystem services; damage aquifer geologic structure; increas</w:t>
      </w:r>
      <w:r w:rsidR="00BF565F">
        <w:rPr>
          <w:rStyle w:val="normaltextrun"/>
          <w:color w:val="000000" w:themeColor="text1"/>
        </w:rPr>
        <w:t>ing</w:t>
      </w:r>
      <w:r w:rsidR="00CA1304" w:rsidRPr="003E1A05">
        <w:rPr>
          <w:rStyle w:val="normaltextrun"/>
          <w:color w:val="000000" w:themeColor="text1"/>
        </w:rPr>
        <w:t xml:space="preserve"> risk of exotic species invasion; remov</w:t>
      </w:r>
      <w:r w:rsidR="00BF565F">
        <w:rPr>
          <w:rStyle w:val="normaltextrun"/>
          <w:color w:val="000000" w:themeColor="text1"/>
        </w:rPr>
        <w:t>ing</w:t>
      </w:r>
      <w:r w:rsidR="00CA1304" w:rsidRPr="003E1A05">
        <w:rPr>
          <w:rStyle w:val="normaltextrun"/>
          <w:color w:val="000000" w:themeColor="text1"/>
        </w:rPr>
        <w:t xml:space="preserve"> GDE habitat; </w:t>
      </w:r>
      <w:r w:rsidR="00BF565F">
        <w:rPr>
          <w:rStyle w:val="normaltextrun"/>
          <w:color w:val="000000" w:themeColor="text1"/>
        </w:rPr>
        <w:t xml:space="preserve">altering groundwater quality; and </w:t>
      </w:r>
      <w:r w:rsidR="00CA1304" w:rsidRPr="003E1A05">
        <w:rPr>
          <w:rStyle w:val="normaltextrun"/>
          <w:color w:val="000000" w:themeColor="text1"/>
        </w:rPr>
        <w:t>chang</w:t>
      </w:r>
      <w:r w:rsidR="00BF565F">
        <w:rPr>
          <w:rStyle w:val="normaltextrun"/>
          <w:color w:val="000000" w:themeColor="text1"/>
        </w:rPr>
        <w:t>ing</w:t>
      </w:r>
      <w:r w:rsidR="00CA1304" w:rsidRPr="003E1A05">
        <w:rPr>
          <w:rStyle w:val="normaltextrun"/>
          <w:color w:val="000000" w:themeColor="text1"/>
        </w:rPr>
        <w:t xml:space="preserve"> timing, duration, pressure and flow conditions of groundwater</w:t>
      </w:r>
      <w:bookmarkEnd w:id="94"/>
    </w:p>
    <w:tbl>
      <w:tblPr>
        <w:tblStyle w:val="TableCSIRO"/>
        <w:tblW w:w="9744" w:type="dxa"/>
        <w:jc w:val="center"/>
        <w:tblInd w:w="0" w:type="dxa"/>
        <w:tblLayout w:type="fixed"/>
        <w:tblLook w:val="04A0" w:firstRow="1" w:lastRow="0" w:firstColumn="1" w:lastColumn="0" w:noHBand="0" w:noVBand="1"/>
      </w:tblPr>
      <w:tblGrid>
        <w:gridCol w:w="1872"/>
        <w:gridCol w:w="1559"/>
        <w:gridCol w:w="1300"/>
        <w:gridCol w:w="2661"/>
        <w:gridCol w:w="2352"/>
      </w:tblGrid>
      <w:tr w:rsidR="00CA1304" w:rsidRPr="00834B45" w14:paraId="31C8BDCA" w14:textId="77777777" w:rsidTr="004047F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C5" w14:textId="77777777" w:rsidR="00CA1304" w:rsidRPr="00834B45" w:rsidRDefault="00CA1304" w:rsidP="00437168">
            <w:pPr>
              <w:pStyle w:val="BodyText"/>
              <w:rPr>
                <w:color w:val="FFFFFF" w:themeColor="background1"/>
                <w:sz w:val="18"/>
                <w:szCs w:val="18"/>
              </w:rPr>
            </w:pPr>
            <w:r w:rsidRPr="00834B45">
              <w:rPr>
                <w:rStyle w:val="normaltextrun"/>
                <w:b w:val="0"/>
                <w:bCs w:val="0"/>
                <w:color w:val="FFFFFF" w:themeColor="background1"/>
                <w:sz w:val="18"/>
                <w:szCs w:val="18"/>
              </w:rPr>
              <w:t>Impacting activity</w:t>
            </w:r>
            <w:r w:rsidRPr="00834B45">
              <w:rPr>
                <w:rStyle w:val="eop"/>
                <w:color w:val="FFFFFF" w:themeColor="background1"/>
                <w:sz w:val="18"/>
                <w:szCs w:val="18"/>
              </w:rPr>
              <w:t> </w:t>
            </w:r>
          </w:p>
        </w:tc>
        <w:tc>
          <w:tcPr>
            <w:tcW w:w="1559" w:type="dxa"/>
          </w:tcPr>
          <w:p w14:paraId="31C8BDC6" w14:textId="77777777" w:rsidR="00CA1304" w:rsidRPr="00834B45" w:rsidRDefault="00CA1304" w:rsidP="0043716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34B45">
              <w:rPr>
                <w:rStyle w:val="normaltextrun"/>
                <w:b w:val="0"/>
                <w:bCs w:val="0"/>
                <w:color w:val="FFFFFF" w:themeColor="background1"/>
                <w:sz w:val="18"/>
                <w:szCs w:val="18"/>
              </w:rPr>
              <w:t>Type of impact</w:t>
            </w:r>
            <w:r w:rsidRPr="00834B45">
              <w:rPr>
                <w:rStyle w:val="eop"/>
                <w:color w:val="FFFFFF" w:themeColor="background1"/>
                <w:sz w:val="18"/>
                <w:szCs w:val="18"/>
              </w:rPr>
              <w:t> </w:t>
            </w:r>
          </w:p>
        </w:tc>
        <w:tc>
          <w:tcPr>
            <w:tcW w:w="1300" w:type="dxa"/>
          </w:tcPr>
          <w:p w14:paraId="31C8BDC7" w14:textId="77777777" w:rsidR="00CA1304" w:rsidRPr="00834B45" w:rsidRDefault="00CA1304" w:rsidP="0043716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34B45">
              <w:rPr>
                <w:rStyle w:val="normaltextrun"/>
                <w:b w:val="0"/>
                <w:bCs w:val="0"/>
                <w:color w:val="FFFFFF" w:themeColor="background1"/>
                <w:sz w:val="18"/>
                <w:szCs w:val="18"/>
              </w:rPr>
              <w:t>Type of GDE affected</w:t>
            </w:r>
            <w:r w:rsidRPr="00834B45">
              <w:rPr>
                <w:rStyle w:val="eop"/>
                <w:color w:val="FFFFFF" w:themeColor="background1"/>
                <w:sz w:val="18"/>
                <w:szCs w:val="18"/>
              </w:rPr>
              <w:t> </w:t>
            </w:r>
          </w:p>
        </w:tc>
        <w:tc>
          <w:tcPr>
            <w:tcW w:w="2661" w:type="dxa"/>
          </w:tcPr>
          <w:p w14:paraId="31C8BDC8" w14:textId="77777777" w:rsidR="00CA1304" w:rsidRPr="00834B45" w:rsidRDefault="00CA1304" w:rsidP="00437168">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834B45">
              <w:rPr>
                <w:rStyle w:val="normaltextrun"/>
                <w:b w:val="0"/>
                <w:bCs w:val="0"/>
                <w:color w:val="FFFFFF" w:themeColor="background1"/>
                <w:sz w:val="18"/>
                <w:szCs w:val="18"/>
              </w:rPr>
              <w:t>When does this impact need to be considered in EIA?</w:t>
            </w:r>
            <w:r w:rsidRPr="00834B45">
              <w:rPr>
                <w:rStyle w:val="eop"/>
                <w:color w:val="FFFFFF" w:themeColor="background1"/>
                <w:sz w:val="18"/>
                <w:szCs w:val="18"/>
              </w:rPr>
              <w:t> </w:t>
            </w:r>
          </w:p>
        </w:tc>
        <w:tc>
          <w:tcPr>
            <w:tcW w:w="2352" w:type="dxa"/>
          </w:tcPr>
          <w:p w14:paraId="31C8BDC9" w14:textId="77777777" w:rsidR="00CA1304" w:rsidRPr="00834B45" w:rsidRDefault="00CA1304" w:rsidP="0043716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34B45">
              <w:rPr>
                <w:rStyle w:val="normaltextrun"/>
                <w:b w:val="0"/>
                <w:bCs w:val="0"/>
                <w:color w:val="FFFFFF" w:themeColor="background1"/>
                <w:sz w:val="18"/>
                <w:szCs w:val="18"/>
              </w:rPr>
              <w:t>Factors to consider during impact assessment</w:t>
            </w:r>
            <w:r w:rsidRPr="00834B45">
              <w:rPr>
                <w:rStyle w:val="eop"/>
                <w:color w:val="FFFFFF" w:themeColor="background1"/>
                <w:sz w:val="18"/>
                <w:szCs w:val="18"/>
              </w:rPr>
              <w:t> </w:t>
            </w:r>
          </w:p>
        </w:tc>
      </w:tr>
      <w:tr w:rsidR="00CA1304" w:rsidRPr="00834B45" w14:paraId="31C8BDD0"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CB" w14:textId="77777777" w:rsidR="00CA1304" w:rsidRPr="00834B45" w:rsidRDefault="00CA1304" w:rsidP="00437168">
            <w:pPr>
              <w:pStyle w:val="BodyText"/>
              <w:rPr>
                <w:b w:val="0"/>
                <w:sz w:val="18"/>
                <w:szCs w:val="18"/>
              </w:rPr>
            </w:pPr>
            <w:r w:rsidRPr="00834B45">
              <w:rPr>
                <w:b w:val="0"/>
                <w:sz w:val="18"/>
                <w:szCs w:val="18"/>
              </w:rPr>
              <w:t>Aquifer dewatering</w:t>
            </w:r>
          </w:p>
        </w:tc>
        <w:tc>
          <w:tcPr>
            <w:tcW w:w="1559" w:type="dxa"/>
          </w:tcPr>
          <w:p w14:paraId="31C8BDCC" w14:textId="77777777" w:rsidR="00CA1304" w:rsidRPr="00834B45" w:rsidRDefault="00AB6B3E" w:rsidP="00051D03">
            <w:pPr>
              <w:pStyle w:val="BodyText"/>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Watertable</w:t>
            </w:r>
            <w:proofErr w:type="spellEnd"/>
            <w:r w:rsidR="00CA1304" w:rsidRPr="00834B45">
              <w:rPr>
                <w:sz w:val="18"/>
                <w:szCs w:val="18"/>
              </w:rPr>
              <w:t xml:space="preserve"> lowering; change timing and magnitude of groundwater level fluctuations</w:t>
            </w:r>
          </w:p>
        </w:tc>
        <w:tc>
          <w:tcPr>
            <w:tcW w:w="1300" w:type="dxa"/>
          </w:tcPr>
          <w:p w14:paraId="31C8BDCD"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All</w:t>
            </w:r>
          </w:p>
        </w:tc>
        <w:tc>
          <w:tcPr>
            <w:tcW w:w="2661" w:type="dxa"/>
          </w:tcPr>
          <w:p w14:paraId="31C8BDCE"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Aquifer connection to surface GDE;  aquifer likely to have stygofauna (alluvial, karstic, calcrete) with dewatering at a magnitude and duration outside natural variability</w:t>
            </w:r>
            <w:r w:rsidRPr="00834B45">
              <w:rPr>
                <w:rStyle w:val="eop"/>
                <w:sz w:val="18"/>
                <w:szCs w:val="18"/>
              </w:rPr>
              <w:t> </w:t>
            </w:r>
          </w:p>
        </w:tc>
        <w:tc>
          <w:tcPr>
            <w:tcW w:w="2352" w:type="dxa"/>
          </w:tcPr>
          <w:p w14:paraId="31C8BDCF"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834B45">
              <w:rPr>
                <w:rStyle w:val="normaltextrun"/>
                <w:sz w:val="18"/>
                <w:szCs w:val="18"/>
              </w:rPr>
              <w:t>Magnitude, duration, frequency, and timing of dewatering; how these compare to pre-impact conditions</w:t>
            </w:r>
            <w:r w:rsidRPr="00834B45">
              <w:rPr>
                <w:rStyle w:val="eop"/>
                <w:sz w:val="18"/>
                <w:szCs w:val="18"/>
              </w:rPr>
              <w:t> </w:t>
            </w:r>
          </w:p>
        </w:tc>
      </w:tr>
      <w:tr w:rsidR="00CA1304" w:rsidRPr="00834B45" w14:paraId="31C8BDD6"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D1" w14:textId="77777777" w:rsidR="00CA1304" w:rsidRPr="00834B45" w:rsidRDefault="00CA1304" w:rsidP="00437168">
            <w:pPr>
              <w:pStyle w:val="BodyText"/>
              <w:rPr>
                <w:sz w:val="18"/>
                <w:szCs w:val="18"/>
              </w:rPr>
            </w:pPr>
          </w:p>
        </w:tc>
        <w:tc>
          <w:tcPr>
            <w:tcW w:w="1559" w:type="dxa"/>
          </w:tcPr>
          <w:p w14:paraId="31C8BDD2"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1300" w:type="dxa"/>
          </w:tcPr>
          <w:p w14:paraId="31C8BDD3"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2661" w:type="dxa"/>
          </w:tcPr>
          <w:p w14:paraId="31C8BDD4"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2352" w:type="dxa"/>
          </w:tcPr>
          <w:p w14:paraId="31C8BDD5"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 xml:space="preserve">Initial </w:t>
            </w:r>
            <w:proofErr w:type="spellStart"/>
            <w:r w:rsidR="00AB6B3E">
              <w:rPr>
                <w:rStyle w:val="normaltextrun"/>
                <w:sz w:val="18"/>
                <w:szCs w:val="18"/>
              </w:rPr>
              <w:t>watertable</w:t>
            </w:r>
            <w:proofErr w:type="spellEnd"/>
            <w:r w:rsidRPr="00834B45">
              <w:rPr>
                <w:rStyle w:val="normaltextrun"/>
                <w:sz w:val="18"/>
                <w:szCs w:val="18"/>
              </w:rPr>
              <w:t xml:space="preserve"> depth;  water level fluctuation range over annual and supra-annual timescales</w:t>
            </w:r>
            <w:r w:rsidRPr="001B336D">
              <w:rPr>
                <w:rStyle w:val="normaltextrun"/>
                <w:sz w:val="18"/>
                <w:szCs w:val="18"/>
              </w:rPr>
              <w:t>, amplitude and rate of change</w:t>
            </w:r>
          </w:p>
        </w:tc>
      </w:tr>
      <w:tr w:rsidR="00CA1304" w:rsidRPr="00834B45" w14:paraId="31C8BDDC"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D7" w14:textId="77777777" w:rsidR="00CA1304" w:rsidRPr="00834B45" w:rsidRDefault="00CA1304" w:rsidP="00437168">
            <w:pPr>
              <w:pStyle w:val="BodyText"/>
              <w:rPr>
                <w:sz w:val="18"/>
                <w:szCs w:val="18"/>
              </w:rPr>
            </w:pPr>
          </w:p>
        </w:tc>
        <w:tc>
          <w:tcPr>
            <w:tcW w:w="1559" w:type="dxa"/>
          </w:tcPr>
          <w:p w14:paraId="31C8BDD8"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31C8BDD9"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661" w:type="dxa"/>
          </w:tcPr>
          <w:p w14:paraId="31C8BDDA"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352" w:type="dxa"/>
          </w:tcPr>
          <w:p w14:paraId="31C8BDDB" w14:textId="77777777" w:rsidR="00CA1304" w:rsidRPr="00834B45" w:rsidRDefault="00AB6B3E"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rStyle w:val="normaltextrun"/>
                <w:sz w:val="18"/>
                <w:szCs w:val="18"/>
              </w:rPr>
              <w:t>Watertable</w:t>
            </w:r>
            <w:proofErr w:type="spellEnd"/>
            <w:r w:rsidR="00CA1304" w:rsidRPr="00834B45">
              <w:rPr>
                <w:rStyle w:val="normaltextrun"/>
                <w:sz w:val="18"/>
                <w:szCs w:val="18"/>
              </w:rPr>
              <w:t xml:space="preserve"> lowering – will it convert gaining stream/wetland</w:t>
            </w:r>
            <w:r w:rsidR="00051D03">
              <w:rPr>
                <w:rStyle w:val="normaltextrun"/>
                <w:sz w:val="18"/>
                <w:szCs w:val="18"/>
              </w:rPr>
              <w:t>s</w:t>
            </w:r>
            <w:r w:rsidR="00CA1304" w:rsidRPr="00834B45">
              <w:rPr>
                <w:rStyle w:val="normaltextrun"/>
                <w:sz w:val="18"/>
                <w:szCs w:val="18"/>
              </w:rPr>
              <w:t xml:space="preserve"> to losing</w:t>
            </w:r>
            <w:r w:rsidR="00051D03">
              <w:rPr>
                <w:rStyle w:val="normaltextrun"/>
                <w:sz w:val="18"/>
                <w:szCs w:val="18"/>
              </w:rPr>
              <w:t xml:space="preserve"> ones?</w:t>
            </w:r>
          </w:p>
        </w:tc>
      </w:tr>
      <w:tr w:rsidR="00CA1304" w:rsidRPr="00834B45" w14:paraId="31C8BDE2"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DD" w14:textId="77777777" w:rsidR="00CA1304" w:rsidRPr="00834B45" w:rsidRDefault="00CA1304" w:rsidP="00437168">
            <w:pPr>
              <w:pStyle w:val="BodyText"/>
              <w:rPr>
                <w:b w:val="0"/>
                <w:sz w:val="18"/>
                <w:szCs w:val="18"/>
              </w:rPr>
            </w:pPr>
            <w:r w:rsidRPr="00834B45">
              <w:rPr>
                <w:rStyle w:val="normaltextrun"/>
                <w:b w:val="0"/>
                <w:sz w:val="18"/>
                <w:szCs w:val="18"/>
              </w:rPr>
              <w:t>Aquifer depressurisation</w:t>
            </w:r>
            <w:r w:rsidRPr="00834B45">
              <w:rPr>
                <w:rStyle w:val="eop"/>
                <w:b w:val="0"/>
                <w:sz w:val="18"/>
                <w:szCs w:val="18"/>
              </w:rPr>
              <w:t> </w:t>
            </w:r>
          </w:p>
        </w:tc>
        <w:tc>
          <w:tcPr>
            <w:tcW w:w="1559" w:type="dxa"/>
          </w:tcPr>
          <w:p w14:paraId="31C8BDDE"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Loss of artesian pressure</w:t>
            </w:r>
          </w:p>
        </w:tc>
        <w:tc>
          <w:tcPr>
            <w:tcW w:w="1300" w:type="dxa"/>
          </w:tcPr>
          <w:p w14:paraId="31C8BDDF"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Springs</w:t>
            </w:r>
          </w:p>
        </w:tc>
        <w:tc>
          <w:tcPr>
            <w:tcW w:w="2661" w:type="dxa"/>
          </w:tcPr>
          <w:p w14:paraId="31C8BDE0"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Depressurisation of an aquifer connected to a spring</w:t>
            </w:r>
            <w:r w:rsidRPr="00834B45">
              <w:rPr>
                <w:rStyle w:val="eop"/>
                <w:sz w:val="18"/>
                <w:szCs w:val="18"/>
              </w:rPr>
              <w:t> </w:t>
            </w:r>
          </w:p>
        </w:tc>
        <w:tc>
          <w:tcPr>
            <w:tcW w:w="2352" w:type="dxa"/>
          </w:tcPr>
          <w:p w14:paraId="31C8BDE1"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Lost pressure; alteration of discharge flow rate to spring</w:t>
            </w:r>
          </w:p>
        </w:tc>
      </w:tr>
      <w:tr w:rsidR="00CA1304" w:rsidRPr="00834B45" w14:paraId="31C8BDE8"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E3" w14:textId="77777777" w:rsidR="00CA1304" w:rsidRPr="00834B45" w:rsidRDefault="00CA1304" w:rsidP="00437168">
            <w:pPr>
              <w:pStyle w:val="BodyText"/>
              <w:rPr>
                <w:sz w:val="18"/>
                <w:szCs w:val="18"/>
              </w:rPr>
            </w:pPr>
          </w:p>
        </w:tc>
        <w:tc>
          <w:tcPr>
            <w:tcW w:w="1559" w:type="dxa"/>
          </w:tcPr>
          <w:p w14:paraId="31C8BDE4"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31C8BDE5"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661" w:type="dxa"/>
          </w:tcPr>
          <w:p w14:paraId="31C8BDE6"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352" w:type="dxa"/>
          </w:tcPr>
          <w:p w14:paraId="31C8BDE7"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 xml:space="preserve">Flow rate changes </w:t>
            </w:r>
            <w:r w:rsidR="00051D03">
              <w:rPr>
                <w:sz w:val="18"/>
                <w:szCs w:val="18"/>
              </w:rPr>
              <w:t>a</w:t>
            </w:r>
            <w:r w:rsidRPr="00834B45">
              <w:rPr>
                <w:sz w:val="18"/>
                <w:szCs w:val="18"/>
              </w:rPr>
              <w:t xml:space="preserve">ffect water level, permanence, and spring water quality </w:t>
            </w:r>
          </w:p>
        </w:tc>
      </w:tr>
      <w:tr w:rsidR="00CA1304" w:rsidRPr="00834B45" w14:paraId="31C8BDEE"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E9" w14:textId="77777777" w:rsidR="00CA1304" w:rsidRPr="00834B45" w:rsidRDefault="00CA1304" w:rsidP="00437168">
            <w:pPr>
              <w:pStyle w:val="BodyText"/>
              <w:rPr>
                <w:b w:val="0"/>
                <w:sz w:val="18"/>
                <w:szCs w:val="18"/>
              </w:rPr>
            </w:pPr>
            <w:r w:rsidRPr="00834B45">
              <w:rPr>
                <w:b w:val="0"/>
                <w:sz w:val="18"/>
                <w:szCs w:val="18"/>
              </w:rPr>
              <w:t>Excavation of overburden</w:t>
            </w:r>
          </w:p>
        </w:tc>
        <w:tc>
          <w:tcPr>
            <w:tcW w:w="1559" w:type="dxa"/>
          </w:tcPr>
          <w:p w14:paraId="31C8BDEA"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Removal of upper aquifer</w:t>
            </w:r>
            <w:r w:rsidRPr="00834B45">
              <w:rPr>
                <w:rStyle w:val="eop"/>
                <w:sz w:val="18"/>
                <w:szCs w:val="18"/>
              </w:rPr>
              <w:t> </w:t>
            </w:r>
          </w:p>
        </w:tc>
        <w:tc>
          <w:tcPr>
            <w:tcW w:w="1300" w:type="dxa"/>
          </w:tcPr>
          <w:p w14:paraId="31C8BDEB"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All GDE types</w:t>
            </w:r>
            <w:r w:rsidRPr="00834B45">
              <w:rPr>
                <w:rStyle w:val="eop"/>
                <w:sz w:val="18"/>
                <w:szCs w:val="18"/>
              </w:rPr>
              <w:t> </w:t>
            </w:r>
          </w:p>
        </w:tc>
        <w:tc>
          <w:tcPr>
            <w:tcW w:w="2661" w:type="dxa"/>
          </w:tcPr>
          <w:p w14:paraId="31C8BDEC"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When overburden is an aquifer that supports GDEs</w:t>
            </w:r>
            <w:r w:rsidRPr="00834B45">
              <w:rPr>
                <w:rStyle w:val="eop"/>
                <w:sz w:val="18"/>
                <w:szCs w:val="18"/>
              </w:rPr>
              <w:t> </w:t>
            </w:r>
          </w:p>
        </w:tc>
        <w:tc>
          <w:tcPr>
            <w:tcW w:w="2352" w:type="dxa"/>
          </w:tcPr>
          <w:p w14:paraId="31C8BDED" w14:textId="77777777" w:rsidR="00CA1304" w:rsidRPr="00834B45" w:rsidRDefault="00AB6B3E"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rStyle w:val="normaltextrun"/>
                <w:sz w:val="18"/>
                <w:szCs w:val="18"/>
              </w:rPr>
              <w:t>Watertable</w:t>
            </w:r>
            <w:proofErr w:type="spellEnd"/>
            <w:r w:rsidR="00CA1304" w:rsidRPr="00834B45">
              <w:rPr>
                <w:rStyle w:val="normaltextrun"/>
                <w:sz w:val="18"/>
                <w:szCs w:val="18"/>
              </w:rPr>
              <w:t xml:space="preserve"> depth in overburden; aquifer porosity</w:t>
            </w:r>
          </w:p>
        </w:tc>
      </w:tr>
      <w:tr w:rsidR="00CA1304" w:rsidRPr="00834B45" w14:paraId="31C8BDF4"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EF" w14:textId="77777777" w:rsidR="00CA1304" w:rsidRPr="00834B45" w:rsidRDefault="00CA1304" w:rsidP="00437168">
            <w:pPr>
              <w:pStyle w:val="BodyText"/>
              <w:rPr>
                <w:sz w:val="18"/>
                <w:szCs w:val="18"/>
              </w:rPr>
            </w:pPr>
          </w:p>
        </w:tc>
        <w:tc>
          <w:tcPr>
            <w:tcW w:w="1559" w:type="dxa"/>
          </w:tcPr>
          <w:p w14:paraId="31C8BDF0"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31C8BDF1"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661" w:type="dxa"/>
          </w:tcPr>
          <w:p w14:paraId="31C8BDF2"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352" w:type="dxa"/>
          </w:tcPr>
          <w:p w14:paraId="31C8BDF3"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Alteration of subsurface </w:t>
            </w:r>
            <w:r w:rsidRPr="00834B45">
              <w:rPr>
                <w:rStyle w:val="spellingerror"/>
                <w:sz w:val="18"/>
                <w:szCs w:val="18"/>
              </w:rPr>
              <w:t>flow paths</w:t>
            </w:r>
            <w:r w:rsidRPr="00834B45">
              <w:rPr>
                <w:rStyle w:val="normaltextrun"/>
                <w:sz w:val="18"/>
                <w:szCs w:val="18"/>
              </w:rPr>
              <w:t xml:space="preserve"> with excavation </w:t>
            </w:r>
          </w:p>
        </w:tc>
      </w:tr>
      <w:tr w:rsidR="00CA1304" w:rsidRPr="00834B45" w14:paraId="31C8BDFA"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F5" w14:textId="77777777" w:rsidR="00CA1304" w:rsidRPr="00834B45" w:rsidRDefault="00CA1304" w:rsidP="00437168">
            <w:pPr>
              <w:pStyle w:val="BodyText"/>
              <w:rPr>
                <w:b w:val="0"/>
                <w:sz w:val="18"/>
                <w:szCs w:val="18"/>
              </w:rPr>
            </w:pPr>
            <w:r w:rsidRPr="00834B45">
              <w:rPr>
                <w:rStyle w:val="normaltextrun"/>
                <w:b w:val="0"/>
                <w:sz w:val="18"/>
                <w:szCs w:val="18"/>
              </w:rPr>
              <w:t>Surface topography</w:t>
            </w:r>
            <w:r w:rsidRPr="00834B45">
              <w:rPr>
                <w:rStyle w:val="eop"/>
                <w:b w:val="0"/>
                <w:sz w:val="18"/>
                <w:szCs w:val="18"/>
              </w:rPr>
              <w:t> changes</w:t>
            </w:r>
          </w:p>
        </w:tc>
        <w:tc>
          <w:tcPr>
            <w:tcW w:w="1559" w:type="dxa"/>
          </w:tcPr>
          <w:p w14:paraId="31C8BDF6"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Alter groundwater recharge patterns</w:t>
            </w:r>
            <w:r w:rsidRPr="00834B45">
              <w:rPr>
                <w:rStyle w:val="eop"/>
                <w:sz w:val="18"/>
                <w:szCs w:val="18"/>
              </w:rPr>
              <w:t> </w:t>
            </w:r>
          </w:p>
        </w:tc>
        <w:tc>
          <w:tcPr>
            <w:tcW w:w="1300" w:type="dxa"/>
          </w:tcPr>
          <w:p w14:paraId="31C8BDF7"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Vegetation; wetlands; river </w:t>
            </w:r>
            <w:proofErr w:type="spellStart"/>
            <w:r w:rsidRPr="00834B45">
              <w:rPr>
                <w:rStyle w:val="spellingerror"/>
                <w:sz w:val="18"/>
                <w:szCs w:val="18"/>
              </w:rPr>
              <w:t>baseflow</w:t>
            </w:r>
            <w:proofErr w:type="spellEnd"/>
            <w:r w:rsidRPr="00834B45">
              <w:rPr>
                <w:rStyle w:val="spellingerror"/>
                <w:sz w:val="18"/>
                <w:szCs w:val="18"/>
              </w:rPr>
              <w:t>;</w:t>
            </w:r>
            <w:r w:rsidRPr="00834B45">
              <w:rPr>
                <w:rStyle w:val="normaltextrun"/>
                <w:sz w:val="18"/>
                <w:szCs w:val="18"/>
              </w:rPr>
              <w:t xml:space="preserve"> aquifer GDEs</w:t>
            </w:r>
            <w:r w:rsidRPr="00834B45">
              <w:rPr>
                <w:rStyle w:val="eop"/>
                <w:sz w:val="18"/>
                <w:szCs w:val="18"/>
              </w:rPr>
              <w:t> </w:t>
            </w:r>
          </w:p>
        </w:tc>
        <w:tc>
          <w:tcPr>
            <w:tcW w:w="2661" w:type="dxa"/>
          </w:tcPr>
          <w:p w14:paraId="31C8BDF8"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Major landscape changes such as excavation of mine pit; subsidence of </w:t>
            </w:r>
            <w:r w:rsidRPr="00834B45">
              <w:rPr>
                <w:rStyle w:val="spellingerror"/>
                <w:sz w:val="18"/>
                <w:szCs w:val="18"/>
              </w:rPr>
              <w:t>longwall</w:t>
            </w:r>
            <w:r w:rsidRPr="00834B45">
              <w:rPr>
                <w:rStyle w:val="normaltextrun"/>
                <w:sz w:val="18"/>
                <w:szCs w:val="18"/>
              </w:rPr>
              <w:t> panels</w:t>
            </w:r>
          </w:p>
        </w:tc>
        <w:tc>
          <w:tcPr>
            <w:tcW w:w="2352" w:type="dxa"/>
          </w:tcPr>
          <w:p w14:paraId="31C8BDF9"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 xml:space="preserve">Alteration to channelling of water to or from aquifer recharge zones; availability of groundwater modelling </w:t>
            </w:r>
          </w:p>
        </w:tc>
      </w:tr>
      <w:tr w:rsidR="00CA1304" w:rsidRPr="00834B45" w14:paraId="31C8BE00"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DFB" w14:textId="77777777" w:rsidR="00CA1304" w:rsidRPr="00834B45" w:rsidRDefault="00CA1304" w:rsidP="00437168">
            <w:pPr>
              <w:pStyle w:val="BodyText"/>
              <w:rPr>
                <w:sz w:val="18"/>
                <w:szCs w:val="18"/>
              </w:rPr>
            </w:pPr>
          </w:p>
        </w:tc>
        <w:tc>
          <w:tcPr>
            <w:tcW w:w="1559" w:type="dxa"/>
          </w:tcPr>
          <w:p w14:paraId="31C8BDFC"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31C8BDFD"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661" w:type="dxa"/>
          </w:tcPr>
          <w:p w14:paraId="31C8BDFE"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352" w:type="dxa"/>
          </w:tcPr>
          <w:p w14:paraId="31C8BDFF"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Potential flow changes considered in groundwater modelling</w:t>
            </w:r>
            <w:r w:rsidRPr="00834B45">
              <w:rPr>
                <w:rStyle w:val="eop"/>
                <w:sz w:val="18"/>
                <w:szCs w:val="18"/>
              </w:rPr>
              <w:t> </w:t>
            </w:r>
          </w:p>
        </w:tc>
      </w:tr>
      <w:tr w:rsidR="00CA1304" w:rsidRPr="00834B45" w14:paraId="31C8BE06"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01" w14:textId="77777777" w:rsidR="00CA1304" w:rsidRPr="00834B45" w:rsidRDefault="00CA1304" w:rsidP="00437168">
            <w:pPr>
              <w:pStyle w:val="BodyText"/>
              <w:rPr>
                <w:sz w:val="18"/>
                <w:szCs w:val="18"/>
              </w:rPr>
            </w:pPr>
          </w:p>
        </w:tc>
        <w:tc>
          <w:tcPr>
            <w:tcW w:w="1559" w:type="dxa"/>
          </w:tcPr>
          <w:p w14:paraId="31C8BE02"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1300" w:type="dxa"/>
          </w:tcPr>
          <w:p w14:paraId="31C8BE03"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2661" w:type="dxa"/>
          </w:tcPr>
          <w:p w14:paraId="31C8BE04"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2352" w:type="dxa"/>
          </w:tcPr>
          <w:p w14:paraId="31C8BE05"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If GDEs have some level of reliance on surface water</w:t>
            </w:r>
            <w:r w:rsidRPr="00834B45">
              <w:rPr>
                <w:rStyle w:val="eop"/>
                <w:sz w:val="18"/>
                <w:szCs w:val="18"/>
              </w:rPr>
              <w:t> </w:t>
            </w:r>
          </w:p>
        </w:tc>
      </w:tr>
      <w:tr w:rsidR="00CA1304" w:rsidRPr="00834B45" w14:paraId="31C8BE0D"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07" w14:textId="77777777" w:rsidR="00CA1304" w:rsidRPr="00834B45" w:rsidRDefault="00CA1304" w:rsidP="00437168">
            <w:pPr>
              <w:pStyle w:val="BodyText"/>
              <w:rPr>
                <w:b w:val="0"/>
                <w:sz w:val="18"/>
                <w:szCs w:val="18"/>
              </w:rPr>
            </w:pPr>
            <w:r w:rsidRPr="00834B45">
              <w:rPr>
                <w:rStyle w:val="normaltextrun"/>
                <w:b w:val="0"/>
                <w:sz w:val="18"/>
                <w:szCs w:val="18"/>
              </w:rPr>
              <w:t>River diversion</w:t>
            </w:r>
            <w:r w:rsidRPr="00834B45">
              <w:rPr>
                <w:rStyle w:val="eop"/>
                <w:b w:val="0"/>
                <w:sz w:val="18"/>
                <w:szCs w:val="18"/>
              </w:rPr>
              <w:t> </w:t>
            </w:r>
          </w:p>
        </w:tc>
        <w:tc>
          <w:tcPr>
            <w:tcW w:w="1559" w:type="dxa"/>
          </w:tcPr>
          <w:p w14:paraId="31C8BE08"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Disconnect river and aquifer</w:t>
            </w:r>
            <w:r w:rsidRPr="00834B45">
              <w:rPr>
                <w:rStyle w:val="eop"/>
                <w:sz w:val="18"/>
                <w:szCs w:val="18"/>
              </w:rPr>
              <w:t> </w:t>
            </w:r>
          </w:p>
        </w:tc>
        <w:tc>
          <w:tcPr>
            <w:tcW w:w="1300" w:type="dxa"/>
          </w:tcPr>
          <w:p w14:paraId="31C8BE09"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River </w:t>
            </w:r>
            <w:proofErr w:type="spellStart"/>
            <w:r w:rsidRPr="00834B45">
              <w:rPr>
                <w:rStyle w:val="spellingerror"/>
                <w:sz w:val="18"/>
                <w:szCs w:val="18"/>
              </w:rPr>
              <w:t>baseflow</w:t>
            </w:r>
            <w:proofErr w:type="spellEnd"/>
            <w:r w:rsidRPr="00834B45">
              <w:rPr>
                <w:rStyle w:val="spellingerror"/>
                <w:sz w:val="18"/>
                <w:szCs w:val="18"/>
              </w:rPr>
              <w:t>;</w:t>
            </w:r>
            <w:r w:rsidRPr="00834B45">
              <w:rPr>
                <w:rStyle w:val="normaltextrun"/>
                <w:sz w:val="18"/>
                <w:szCs w:val="18"/>
              </w:rPr>
              <w:t xml:space="preserve"> aquifer GDEs</w:t>
            </w:r>
          </w:p>
        </w:tc>
        <w:tc>
          <w:tcPr>
            <w:tcW w:w="2661" w:type="dxa"/>
          </w:tcPr>
          <w:p w14:paraId="31C8BE0A"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rStyle w:val="normaltextrun"/>
                <w:sz w:val="18"/>
                <w:szCs w:val="18"/>
              </w:rPr>
            </w:pPr>
            <w:r w:rsidRPr="00834B45">
              <w:rPr>
                <w:rStyle w:val="normaltextrun"/>
                <w:sz w:val="18"/>
                <w:szCs w:val="18"/>
              </w:rPr>
              <w:t>If connection exists between channel and aquifer</w:t>
            </w:r>
          </w:p>
          <w:p w14:paraId="31C8BE0B"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352" w:type="dxa"/>
          </w:tcPr>
          <w:p w14:paraId="31C8BE0C"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If the diverted reach is dependent on groundwater, either locally or </w:t>
            </w:r>
            <w:r w:rsidRPr="00834B45">
              <w:rPr>
                <w:rStyle w:val="spellingerror"/>
                <w:sz w:val="18"/>
                <w:szCs w:val="18"/>
              </w:rPr>
              <w:t>upstream</w:t>
            </w:r>
          </w:p>
        </w:tc>
      </w:tr>
      <w:tr w:rsidR="00CA1304" w:rsidRPr="00834B45" w14:paraId="31C8BE14"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0E" w14:textId="77777777" w:rsidR="00CA1304" w:rsidRPr="00834B45" w:rsidRDefault="00CA1304" w:rsidP="00437168">
            <w:pPr>
              <w:pStyle w:val="BodyText"/>
              <w:rPr>
                <w:rStyle w:val="normaltextrun"/>
                <w:b w:val="0"/>
                <w:sz w:val="18"/>
                <w:szCs w:val="18"/>
              </w:rPr>
            </w:pPr>
            <w:r w:rsidRPr="00834B45">
              <w:rPr>
                <w:rStyle w:val="normaltextrun"/>
                <w:b w:val="0"/>
                <w:sz w:val="18"/>
                <w:szCs w:val="18"/>
              </w:rPr>
              <w:lastRenderedPageBreak/>
              <w:t>Leaking of saline water from surface storage or through fractures between aquifers</w:t>
            </w:r>
            <w:r w:rsidRPr="00834B45">
              <w:rPr>
                <w:rStyle w:val="eop"/>
                <w:b w:val="0"/>
                <w:sz w:val="18"/>
                <w:szCs w:val="18"/>
              </w:rPr>
              <w:t> </w:t>
            </w:r>
          </w:p>
          <w:p w14:paraId="31C8BE0F" w14:textId="77777777" w:rsidR="00CA1304" w:rsidRPr="00834B45" w:rsidRDefault="00CA1304" w:rsidP="00437168">
            <w:pPr>
              <w:pStyle w:val="BodyText"/>
              <w:rPr>
                <w:b w:val="0"/>
                <w:sz w:val="18"/>
                <w:szCs w:val="18"/>
              </w:rPr>
            </w:pPr>
          </w:p>
        </w:tc>
        <w:tc>
          <w:tcPr>
            <w:tcW w:w="1559" w:type="dxa"/>
          </w:tcPr>
          <w:p w14:paraId="31C8BE10"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Increase in aquifer salinity; decline in water quality</w:t>
            </w:r>
          </w:p>
        </w:tc>
        <w:tc>
          <w:tcPr>
            <w:tcW w:w="1300" w:type="dxa"/>
          </w:tcPr>
          <w:p w14:paraId="31C8BE11"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All GDEs</w:t>
            </w:r>
            <w:r w:rsidRPr="00834B45">
              <w:rPr>
                <w:rStyle w:val="eop"/>
                <w:sz w:val="18"/>
                <w:szCs w:val="18"/>
              </w:rPr>
              <w:t> </w:t>
            </w:r>
          </w:p>
        </w:tc>
        <w:tc>
          <w:tcPr>
            <w:tcW w:w="2661" w:type="dxa"/>
          </w:tcPr>
          <w:p w14:paraId="31C8BE12"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Pressurised, lower aquifer of poor water quality occurring beneath an aquifer with better quality water that supports GDEs</w:t>
            </w:r>
            <w:r w:rsidRPr="00834B45">
              <w:rPr>
                <w:rStyle w:val="eop"/>
                <w:sz w:val="18"/>
                <w:szCs w:val="18"/>
              </w:rPr>
              <w:t> </w:t>
            </w:r>
          </w:p>
        </w:tc>
        <w:tc>
          <w:tcPr>
            <w:tcW w:w="2352" w:type="dxa"/>
          </w:tcPr>
          <w:p w14:paraId="31C8BE13"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If dilution of saline water will occur</w:t>
            </w:r>
          </w:p>
        </w:tc>
      </w:tr>
      <w:tr w:rsidR="00CA1304" w:rsidRPr="00834B45" w14:paraId="31C8BE1A"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15" w14:textId="77777777" w:rsidR="00CA1304" w:rsidRPr="00834B45" w:rsidRDefault="00CA1304" w:rsidP="00437168">
            <w:pPr>
              <w:pStyle w:val="BodyText"/>
              <w:rPr>
                <w:sz w:val="18"/>
                <w:szCs w:val="18"/>
              </w:rPr>
            </w:pPr>
          </w:p>
        </w:tc>
        <w:tc>
          <w:tcPr>
            <w:tcW w:w="1559" w:type="dxa"/>
          </w:tcPr>
          <w:p w14:paraId="31C8BE16"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31C8BE17"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661" w:type="dxa"/>
          </w:tcPr>
          <w:p w14:paraId="31C8BE18"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Overflow or leakage from storage dams and water infiltrates aquifers</w:t>
            </w:r>
            <w:r w:rsidRPr="00834B45">
              <w:rPr>
                <w:rStyle w:val="eop"/>
                <w:sz w:val="18"/>
                <w:szCs w:val="18"/>
              </w:rPr>
              <w:t> </w:t>
            </w:r>
          </w:p>
        </w:tc>
        <w:tc>
          <w:tcPr>
            <w:tcW w:w="2352" w:type="dxa"/>
          </w:tcPr>
          <w:p w14:paraId="31C8BE19"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Rate of saline water dispersal</w:t>
            </w:r>
            <w:r w:rsidRPr="00834B45">
              <w:rPr>
                <w:rStyle w:val="eop"/>
                <w:sz w:val="18"/>
                <w:szCs w:val="18"/>
              </w:rPr>
              <w:t> </w:t>
            </w:r>
          </w:p>
        </w:tc>
      </w:tr>
      <w:tr w:rsidR="00CA1304" w:rsidRPr="00834B45" w14:paraId="31C8BE20"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1B" w14:textId="77777777" w:rsidR="00CA1304" w:rsidRPr="00834B45" w:rsidRDefault="00CA1304" w:rsidP="00437168">
            <w:pPr>
              <w:pStyle w:val="BodyText"/>
              <w:rPr>
                <w:sz w:val="18"/>
                <w:szCs w:val="18"/>
              </w:rPr>
            </w:pPr>
          </w:p>
        </w:tc>
        <w:tc>
          <w:tcPr>
            <w:tcW w:w="1559" w:type="dxa"/>
          </w:tcPr>
          <w:p w14:paraId="31C8BE1C"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1300" w:type="dxa"/>
          </w:tcPr>
          <w:p w14:paraId="31C8BE1D"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2661" w:type="dxa"/>
          </w:tcPr>
          <w:p w14:paraId="31C8BE1E"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When hydraulic fracturing is planned and there is potential for a confining layer to be ruptured.</w:t>
            </w:r>
            <w:r w:rsidRPr="00834B45">
              <w:rPr>
                <w:rStyle w:val="eop"/>
                <w:sz w:val="18"/>
                <w:szCs w:val="18"/>
              </w:rPr>
              <w:t> </w:t>
            </w:r>
          </w:p>
        </w:tc>
        <w:tc>
          <w:tcPr>
            <w:tcW w:w="2352" w:type="dxa"/>
          </w:tcPr>
          <w:p w14:paraId="31C8BE1F"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Chemistry of saline water compared to receiving aquifer</w:t>
            </w:r>
          </w:p>
        </w:tc>
      </w:tr>
      <w:tr w:rsidR="00CA1304" w:rsidRPr="00834B45" w14:paraId="31C8BE26"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21" w14:textId="77777777" w:rsidR="00CA1304" w:rsidRPr="00834B45" w:rsidRDefault="00CA1304" w:rsidP="00437168">
            <w:pPr>
              <w:pStyle w:val="BodyText"/>
              <w:rPr>
                <w:b w:val="0"/>
                <w:sz w:val="18"/>
                <w:szCs w:val="18"/>
              </w:rPr>
            </w:pPr>
            <w:r w:rsidRPr="00834B45">
              <w:rPr>
                <w:rStyle w:val="normaltextrun"/>
                <w:b w:val="0"/>
                <w:sz w:val="18"/>
                <w:szCs w:val="18"/>
              </w:rPr>
              <w:t>Construction and operation of surface infrastructure (buildings, roads, rail, pipelines, stockpile areas)</w:t>
            </w:r>
            <w:r w:rsidRPr="00834B45">
              <w:rPr>
                <w:rStyle w:val="eop"/>
                <w:b w:val="0"/>
                <w:sz w:val="18"/>
                <w:szCs w:val="18"/>
              </w:rPr>
              <w:t> </w:t>
            </w:r>
          </w:p>
        </w:tc>
        <w:tc>
          <w:tcPr>
            <w:tcW w:w="1559" w:type="dxa"/>
          </w:tcPr>
          <w:p w14:paraId="31C8BE22"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Permeable surface compaction; pollution from effluent</w:t>
            </w:r>
            <w:r w:rsidR="0077405B">
              <w:rPr>
                <w:rStyle w:val="normaltextrun"/>
                <w:sz w:val="18"/>
                <w:szCs w:val="18"/>
              </w:rPr>
              <w:t>s</w:t>
            </w:r>
            <w:r w:rsidRPr="00834B45">
              <w:rPr>
                <w:rStyle w:val="normaltextrun"/>
                <w:sz w:val="18"/>
                <w:szCs w:val="18"/>
              </w:rPr>
              <w:t>, petrochemicals, explosives, other on-site</w:t>
            </w:r>
            <w:r w:rsidRPr="00834B45" w:rsidDel="006D35CE">
              <w:rPr>
                <w:rStyle w:val="normaltextrun"/>
                <w:sz w:val="18"/>
                <w:szCs w:val="18"/>
              </w:rPr>
              <w:t xml:space="preserve"> </w:t>
            </w:r>
            <w:r w:rsidRPr="00834B45">
              <w:rPr>
                <w:rStyle w:val="normaltextrun"/>
                <w:sz w:val="18"/>
                <w:szCs w:val="18"/>
              </w:rPr>
              <w:t xml:space="preserve">chemicals </w:t>
            </w:r>
          </w:p>
        </w:tc>
        <w:tc>
          <w:tcPr>
            <w:tcW w:w="1300" w:type="dxa"/>
          </w:tcPr>
          <w:p w14:paraId="31C8BE23"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All GDEs</w:t>
            </w:r>
            <w:r w:rsidRPr="00834B45">
              <w:rPr>
                <w:rStyle w:val="eop"/>
                <w:sz w:val="18"/>
                <w:szCs w:val="18"/>
              </w:rPr>
              <w:t> </w:t>
            </w:r>
          </w:p>
        </w:tc>
        <w:tc>
          <w:tcPr>
            <w:tcW w:w="2661" w:type="dxa"/>
          </w:tcPr>
          <w:p w14:paraId="31C8BE24"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Location of infrastructure on upslope of aquifer recharge areas (including coal and rock stockpiling areas</w:t>
            </w:r>
            <w:r w:rsidRPr="00834B45">
              <w:rPr>
                <w:rStyle w:val="eop"/>
                <w:sz w:val="18"/>
                <w:szCs w:val="18"/>
              </w:rPr>
              <w:t>)</w:t>
            </w:r>
          </w:p>
        </w:tc>
        <w:tc>
          <w:tcPr>
            <w:tcW w:w="2352" w:type="dxa"/>
          </w:tcPr>
          <w:p w14:paraId="31C8BE25"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Footprint of disturbance area</w:t>
            </w:r>
          </w:p>
        </w:tc>
      </w:tr>
      <w:tr w:rsidR="00CA1304" w:rsidRPr="00834B45" w14:paraId="31C8BE2C"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27" w14:textId="77777777" w:rsidR="00CA1304" w:rsidRPr="00834B45" w:rsidRDefault="00CA1304" w:rsidP="00437168">
            <w:pPr>
              <w:pStyle w:val="BodyText"/>
              <w:rPr>
                <w:b w:val="0"/>
                <w:sz w:val="18"/>
                <w:szCs w:val="18"/>
              </w:rPr>
            </w:pPr>
            <w:r w:rsidRPr="00834B45">
              <w:rPr>
                <w:rStyle w:val="normaltextrun"/>
                <w:b w:val="0"/>
                <w:sz w:val="18"/>
                <w:szCs w:val="18"/>
              </w:rPr>
              <w:t>Leachates from coal or rock stockpiles</w:t>
            </w:r>
            <w:r w:rsidRPr="00834B45">
              <w:rPr>
                <w:rStyle w:val="eop"/>
                <w:b w:val="0"/>
                <w:sz w:val="18"/>
                <w:szCs w:val="18"/>
              </w:rPr>
              <w:t> </w:t>
            </w:r>
          </w:p>
        </w:tc>
        <w:tc>
          <w:tcPr>
            <w:tcW w:w="1559" w:type="dxa"/>
          </w:tcPr>
          <w:p w14:paraId="31C8BE28" w14:textId="77777777" w:rsidR="00CA1304" w:rsidRPr="00834B45" w:rsidRDefault="00CA1304" w:rsidP="0077405B">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Potential groundwater pollution from saline or acid drainage </w:t>
            </w:r>
            <w:r w:rsidRPr="00834B45">
              <w:rPr>
                <w:rStyle w:val="eop"/>
                <w:sz w:val="18"/>
                <w:szCs w:val="18"/>
              </w:rPr>
              <w:t> </w:t>
            </w:r>
          </w:p>
        </w:tc>
        <w:tc>
          <w:tcPr>
            <w:tcW w:w="1300" w:type="dxa"/>
          </w:tcPr>
          <w:p w14:paraId="31C8BE29"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Aquifer GDEs</w:t>
            </w:r>
          </w:p>
        </w:tc>
        <w:tc>
          <w:tcPr>
            <w:tcW w:w="2661" w:type="dxa"/>
          </w:tcPr>
          <w:p w14:paraId="31C8BE2A"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Potentially toxic</w:t>
            </w:r>
            <w:r w:rsidRPr="00834B45" w:rsidDel="006D35CE">
              <w:rPr>
                <w:rStyle w:val="normaltextrun"/>
                <w:sz w:val="18"/>
                <w:szCs w:val="18"/>
              </w:rPr>
              <w:t xml:space="preserve"> </w:t>
            </w:r>
            <w:r w:rsidRPr="00834B45">
              <w:rPr>
                <w:rStyle w:val="normaltextrun"/>
                <w:sz w:val="18"/>
                <w:szCs w:val="18"/>
              </w:rPr>
              <w:t>stockpile leachate</w:t>
            </w:r>
            <w:r w:rsidRPr="00834B45">
              <w:rPr>
                <w:rStyle w:val="eop"/>
                <w:sz w:val="18"/>
                <w:szCs w:val="18"/>
              </w:rPr>
              <w:t> </w:t>
            </w:r>
          </w:p>
        </w:tc>
        <w:tc>
          <w:tcPr>
            <w:tcW w:w="2352" w:type="dxa"/>
          </w:tcPr>
          <w:p w14:paraId="31C8BE2B"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Geochemical characteristics of the stockpiled rock; process of stockpile drain</w:t>
            </w:r>
            <w:r w:rsidRPr="00834B45">
              <w:rPr>
                <w:rStyle w:val="eop"/>
                <w:sz w:val="18"/>
                <w:szCs w:val="18"/>
              </w:rPr>
              <w:t>ing</w:t>
            </w:r>
          </w:p>
        </w:tc>
      </w:tr>
      <w:tr w:rsidR="00CA1304" w:rsidRPr="00834B45" w14:paraId="31C8BE32"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2D" w14:textId="77777777" w:rsidR="00CA1304" w:rsidRPr="00834B45" w:rsidRDefault="00CA1304" w:rsidP="00437168">
            <w:pPr>
              <w:pStyle w:val="BodyText"/>
              <w:rPr>
                <w:b w:val="0"/>
                <w:sz w:val="18"/>
                <w:szCs w:val="18"/>
              </w:rPr>
            </w:pPr>
            <w:r w:rsidRPr="00834B45">
              <w:rPr>
                <w:rStyle w:val="normaltextrun"/>
                <w:b w:val="0"/>
                <w:sz w:val="18"/>
                <w:szCs w:val="18"/>
              </w:rPr>
              <w:t>Vegetation clearing</w:t>
            </w:r>
            <w:r w:rsidRPr="00834B45">
              <w:rPr>
                <w:rStyle w:val="eop"/>
                <w:b w:val="0"/>
                <w:sz w:val="18"/>
                <w:szCs w:val="18"/>
              </w:rPr>
              <w:t> </w:t>
            </w:r>
          </w:p>
        </w:tc>
        <w:tc>
          <w:tcPr>
            <w:tcW w:w="1559" w:type="dxa"/>
          </w:tcPr>
          <w:p w14:paraId="31C8BE2E" w14:textId="77777777" w:rsidR="00CA1304" w:rsidRPr="00834B45" w:rsidRDefault="00CA1304" w:rsidP="0077405B">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 xml:space="preserve">Direct impact to </w:t>
            </w:r>
            <w:r w:rsidR="0077405B">
              <w:rPr>
                <w:rStyle w:val="normaltextrun"/>
                <w:sz w:val="18"/>
                <w:szCs w:val="18"/>
              </w:rPr>
              <w:t>groundwater-dependent</w:t>
            </w:r>
            <w:r w:rsidR="0077405B" w:rsidRPr="00834B45">
              <w:rPr>
                <w:rStyle w:val="normaltextrun"/>
                <w:sz w:val="18"/>
                <w:szCs w:val="18"/>
              </w:rPr>
              <w:t xml:space="preserve"> </w:t>
            </w:r>
            <w:r w:rsidRPr="00834B45">
              <w:rPr>
                <w:rStyle w:val="normaltextrun"/>
                <w:sz w:val="18"/>
                <w:szCs w:val="18"/>
              </w:rPr>
              <w:t>vegetation</w:t>
            </w:r>
            <w:r w:rsidR="0077405B">
              <w:rPr>
                <w:rStyle w:val="normaltextrun"/>
                <w:sz w:val="18"/>
                <w:szCs w:val="18"/>
              </w:rPr>
              <w:t>; r</w:t>
            </w:r>
            <w:r w:rsidRPr="00834B45">
              <w:rPr>
                <w:rStyle w:val="normaltextrun"/>
                <w:sz w:val="18"/>
                <w:szCs w:val="18"/>
              </w:rPr>
              <w:t>emoval of organic matter source for aquifer communities</w:t>
            </w:r>
            <w:r w:rsidRPr="00834B45">
              <w:rPr>
                <w:rStyle w:val="eop"/>
                <w:sz w:val="18"/>
                <w:szCs w:val="18"/>
              </w:rPr>
              <w:t> </w:t>
            </w:r>
          </w:p>
        </w:tc>
        <w:tc>
          <w:tcPr>
            <w:tcW w:w="1300" w:type="dxa"/>
          </w:tcPr>
          <w:p w14:paraId="31C8BE2F" w14:textId="77777777" w:rsidR="00CA1304" w:rsidRPr="00834B45" w:rsidRDefault="00CA1304" w:rsidP="0077405B">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Vegetation; aquifer</w:t>
            </w:r>
            <w:r w:rsidRPr="00834B45">
              <w:rPr>
                <w:rStyle w:val="eop"/>
                <w:sz w:val="18"/>
                <w:szCs w:val="18"/>
              </w:rPr>
              <w:t> GDEs</w:t>
            </w:r>
          </w:p>
        </w:tc>
        <w:tc>
          <w:tcPr>
            <w:tcW w:w="2661" w:type="dxa"/>
          </w:tcPr>
          <w:p w14:paraId="31C8BE30"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Removal of large vegetation areas considered</w:t>
            </w:r>
            <w:r w:rsidRPr="00834B45">
              <w:rPr>
                <w:rStyle w:val="eop"/>
                <w:sz w:val="18"/>
                <w:szCs w:val="18"/>
              </w:rPr>
              <w:t> </w:t>
            </w:r>
          </w:p>
        </w:tc>
        <w:tc>
          <w:tcPr>
            <w:tcW w:w="2352" w:type="dxa"/>
          </w:tcPr>
          <w:p w14:paraId="31C8BE31"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Frequency of vegetation groundwater extraction</w:t>
            </w:r>
            <w:r w:rsidRPr="00834B45">
              <w:rPr>
                <w:rStyle w:val="eop"/>
                <w:sz w:val="18"/>
                <w:szCs w:val="18"/>
              </w:rPr>
              <w:t> </w:t>
            </w:r>
          </w:p>
        </w:tc>
      </w:tr>
      <w:tr w:rsidR="00CA1304" w:rsidRPr="00834B45" w14:paraId="31C8BE38"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33" w14:textId="77777777" w:rsidR="00CA1304" w:rsidRPr="00834B45" w:rsidRDefault="00CA1304" w:rsidP="00437168">
            <w:pPr>
              <w:pStyle w:val="BodyText"/>
              <w:rPr>
                <w:b w:val="0"/>
                <w:sz w:val="18"/>
                <w:szCs w:val="18"/>
              </w:rPr>
            </w:pPr>
            <w:r w:rsidRPr="00834B45">
              <w:rPr>
                <w:rStyle w:val="normaltextrun"/>
                <w:sz w:val="18"/>
                <w:szCs w:val="18"/>
              </w:rPr>
              <w:t>Open pit lake</w:t>
            </w:r>
            <w:r w:rsidRPr="00834B45">
              <w:rPr>
                <w:rStyle w:val="eop"/>
                <w:sz w:val="18"/>
                <w:szCs w:val="18"/>
              </w:rPr>
              <w:t> </w:t>
            </w:r>
          </w:p>
        </w:tc>
        <w:tc>
          <w:tcPr>
            <w:tcW w:w="1559" w:type="dxa"/>
          </w:tcPr>
          <w:p w14:paraId="31C8BE34"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Aquifer impact through poor water quality</w:t>
            </w:r>
            <w:r w:rsidRPr="00834B45">
              <w:rPr>
                <w:rStyle w:val="eop"/>
                <w:sz w:val="18"/>
                <w:szCs w:val="18"/>
              </w:rPr>
              <w:t> </w:t>
            </w:r>
          </w:p>
        </w:tc>
        <w:tc>
          <w:tcPr>
            <w:tcW w:w="1300" w:type="dxa"/>
          </w:tcPr>
          <w:p w14:paraId="31C8BE35"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Aquifers; river </w:t>
            </w:r>
            <w:proofErr w:type="spellStart"/>
            <w:r w:rsidRPr="00834B45">
              <w:rPr>
                <w:rStyle w:val="spellingerror"/>
                <w:sz w:val="18"/>
                <w:szCs w:val="18"/>
              </w:rPr>
              <w:t>baseflow</w:t>
            </w:r>
            <w:proofErr w:type="spellEnd"/>
            <w:r w:rsidRPr="00834B45">
              <w:rPr>
                <w:rStyle w:val="normaltextrun"/>
                <w:sz w:val="18"/>
                <w:szCs w:val="18"/>
              </w:rPr>
              <w:t>; wetlands</w:t>
            </w:r>
          </w:p>
        </w:tc>
        <w:tc>
          <w:tcPr>
            <w:tcW w:w="2661" w:type="dxa"/>
          </w:tcPr>
          <w:p w14:paraId="31C8BE36"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When potential for pit lake to leak into aquifer supporting GDE</w:t>
            </w:r>
            <w:r w:rsidRPr="00834B45">
              <w:rPr>
                <w:rStyle w:val="eop"/>
                <w:sz w:val="18"/>
                <w:szCs w:val="18"/>
              </w:rPr>
              <w:t>s</w:t>
            </w:r>
          </w:p>
        </w:tc>
        <w:tc>
          <w:tcPr>
            <w:tcW w:w="2352" w:type="dxa"/>
          </w:tcPr>
          <w:p w14:paraId="31C8BE37"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rStyle w:val="normaltextrun"/>
                <w:sz w:val="18"/>
                <w:szCs w:val="18"/>
              </w:rPr>
              <w:t>Potential to release water into the surrounding aquifer through seepage</w:t>
            </w:r>
            <w:r w:rsidRPr="00834B45">
              <w:rPr>
                <w:rStyle w:val="eop"/>
                <w:sz w:val="18"/>
                <w:szCs w:val="18"/>
              </w:rPr>
              <w:t> </w:t>
            </w:r>
          </w:p>
        </w:tc>
      </w:tr>
      <w:tr w:rsidR="00CA1304" w:rsidRPr="00834B45" w14:paraId="31C8BE3E"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39" w14:textId="77777777" w:rsidR="00CA1304" w:rsidRPr="00834B45" w:rsidRDefault="00CA1304" w:rsidP="00437168">
            <w:pPr>
              <w:pStyle w:val="BodyText"/>
              <w:rPr>
                <w:sz w:val="18"/>
                <w:szCs w:val="18"/>
              </w:rPr>
            </w:pPr>
          </w:p>
        </w:tc>
        <w:tc>
          <w:tcPr>
            <w:tcW w:w="1559" w:type="dxa"/>
          </w:tcPr>
          <w:p w14:paraId="31C8BE3A"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31C8BE3B"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661" w:type="dxa"/>
          </w:tcPr>
          <w:p w14:paraId="31C8BE3C"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2352" w:type="dxa"/>
          </w:tcPr>
          <w:p w14:paraId="31C8BE3D" w14:textId="77777777" w:rsidR="00CA1304" w:rsidRPr="00834B45" w:rsidRDefault="00CA1304" w:rsidP="00437168">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rStyle w:val="normaltextrun"/>
                <w:sz w:val="18"/>
                <w:szCs w:val="18"/>
              </w:rPr>
              <w:t>Geochemical rock characteristics; chemical changes in pit water once mining ceases</w:t>
            </w:r>
            <w:r w:rsidRPr="00834B45">
              <w:rPr>
                <w:rStyle w:val="eop"/>
                <w:sz w:val="18"/>
                <w:szCs w:val="18"/>
              </w:rPr>
              <w:t> </w:t>
            </w:r>
          </w:p>
        </w:tc>
      </w:tr>
      <w:tr w:rsidR="00CA1304" w:rsidRPr="00834B45" w14:paraId="31C8BE44"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31C8BE3F" w14:textId="77777777" w:rsidR="00CA1304" w:rsidRPr="00834B45" w:rsidRDefault="00CA1304" w:rsidP="00437168">
            <w:pPr>
              <w:pStyle w:val="BodyText"/>
              <w:rPr>
                <w:sz w:val="18"/>
                <w:szCs w:val="18"/>
              </w:rPr>
            </w:pPr>
          </w:p>
        </w:tc>
        <w:tc>
          <w:tcPr>
            <w:tcW w:w="1559" w:type="dxa"/>
          </w:tcPr>
          <w:p w14:paraId="31C8BE40"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1300" w:type="dxa"/>
          </w:tcPr>
          <w:p w14:paraId="31C8BE41"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2661" w:type="dxa"/>
          </w:tcPr>
          <w:p w14:paraId="31C8BE42"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2352" w:type="dxa"/>
          </w:tcPr>
          <w:p w14:paraId="31C8BE43" w14:textId="77777777" w:rsidR="00CA1304" w:rsidRPr="00834B45" w:rsidRDefault="00CA1304" w:rsidP="0043716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Flow rate and direction of groundwater drainage</w:t>
            </w:r>
          </w:p>
        </w:tc>
      </w:tr>
    </w:tbl>
    <w:p w14:paraId="31C8BE45" w14:textId="77777777" w:rsidR="00CA1304" w:rsidRDefault="00CA1304" w:rsidP="00CA1304">
      <w:pPr>
        <w:spacing w:after="0"/>
      </w:pPr>
    </w:p>
    <w:p w14:paraId="31C8BE46" w14:textId="77777777" w:rsidR="009C4E88" w:rsidRDefault="009C4E88" w:rsidP="0000258D">
      <w:pPr>
        <w:pStyle w:val="Heading9"/>
      </w:pPr>
      <w:bookmarkStart w:id="95" w:name="_Toc509996505"/>
      <w:r>
        <w:lastRenderedPageBreak/>
        <w:t>Tools to identify GDEs</w:t>
      </w:r>
      <w:bookmarkEnd w:id="95"/>
    </w:p>
    <w:p w14:paraId="31C8BE47" w14:textId="77777777" w:rsidR="009C4E88" w:rsidRPr="003E1A05" w:rsidRDefault="00BB1DD0" w:rsidP="009C4E88">
      <w:pPr>
        <w:pStyle w:val="Caption"/>
        <w:rPr>
          <w:b/>
          <w:color w:val="000000" w:themeColor="text1"/>
        </w:rPr>
      </w:pPr>
      <w:bookmarkStart w:id="96" w:name="_Ref507707870"/>
      <w:bookmarkStart w:id="97" w:name="_Toc509991054"/>
      <w:r>
        <w:t>App</w:t>
      </w:r>
      <w:r w:rsidR="009C4E88">
        <w:t xml:space="preserve"> Table </w:t>
      </w:r>
      <w:r w:rsidR="00085933">
        <w:fldChar w:fldCharType="begin"/>
      </w:r>
      <w:r w:rsidR="00085933">
        <w:instrText xml:space="preserve"> SEQ Apx_Table \* ARABIC </w:instrText>
      </w:r>
      <w:r w:rsidR="00085933">
        <w:fldChar w:fldCharType="separate"/>
      </w:r>
      <w:r w:rsidR="00E96B43">
        <w:rPr>
          <w:noProof/>
        </w:rPr>
        <w:t>2</w:t>
      </w:r>
      <w:r w:rsidR="00085933">
        <w:rPr>
          <w:noProof/>
        </w:rPr>
        <w:fldChar w:fldCharType="end"/>
      </w:r>
      <w:bookmarkEnd w:id="96"/>
      <w:r w:rsidR="009C4E88">
        <w:t xml:space="preserve">. </w:t>
      </w:r>
      <w:r w:rsidR="009C4E88" w:rsidRPr="003E1A05">
        <w:rPr>
          <w:color w:val="000000" w:themeColor="text1"/>
        </w:rPr>
        <w:t>Summary of tools for assessing GDEs. Adapted from the GDE Toolbox (Evans et al., 2013). Tools T1-T14 are shown in the Toolbox. New tools (NT1-NT5) have been included as tools not documented in the Toolbox, but relevant to identification of GDEs</w:t>
      </w:r>
      <w:bookmarkEnd w:id="97"/>
    </w:p>
    <w:tbl>
      <w:tblPr>
        <w:tblStyle w:val="TableCSIRO"/>
        <w:tblW w:w="0" w:type="auto"/>
        <w:jc w:val="center"/>
        <w:tblInd w:w="0" w:type="dxa"/>
        <w:tblLayout w:type="fixed"/>
        <w:tblLook w:val="04A0" w:firstRow="1" w:lastRow="0" w:firstColumn="1" w:lastColumn="0" w:noHBand="0" w:noVBand="1"/>
      </w:tblPr>
      <w:tblGrid>
        <w:gridCol w:w="561"/>
        <w:gridCol w:w="1460"/>
        <w:gridCol w:w="4591"/>
        <w:gridCol w:w="1589"/>
      </w:tblGrid>
      <w:tr w:rsidR="00E15108" w:rsidRPr="00834B45" w14:paraId="31C8BE4C" w14:textId="77777777" w:rsidTr="004047F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48" w14:textId="77777777" w:rsidR="00E15108" w:rsidRPr="00834B45" w:rsidRDefault="00E15108" w:rsidP="00B81366">
            <w:pPr>
              <w:pStyle w:val="BodyText"/>
              <w:rPr>
                <w:color w:val="FFFFFF" w:themeColor="background1"/>
                <w:sz w:val="18"/>
                <w:szCs w:val="18"/>
              </w:rPr>
            </w:pPr>
            <w:r w:rsidRPr="00834B45">
              <w:rPr>
                <w:color w:val="FFFFFF" w:themeColor="background1"/>
                <w:sz w:val="18"/>
                <w:szCs w:val="18"/>
              </w:rPr>
              <w:t>Code</w:t>
            </w:r>
          </w:p>
        </w:tc>
        <w:tc>
          <w:tcPr>
            <w:tcW w:w="1460" w:type="dxa"/>
          </w:tcPr>
          <w:p w14:paraId="31C8BE49" w14:textId="77777777" w:rsidR="00E15108" w:rsidRPr="00834B45" w:rsidRDefault="00E15108" w:rsidP="00B8136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34B45">
              <w:rPr>
                <w:color w:val="FFFFFF" w:themeColor="background1"/>
                <w:sz w:val="18"/>
                <w:szCs w:val="18"/>
              </w:rPr>
              <w:t>Tool</w:t>
            </w:r>
          </w:p>
        </w:tc>
        <w:tc>
          <w:tcPr>
            <w:tcW w:w="4591" w:type="dxa"/>
          </w:tcPr>
          <w:p w14:paraId="31C8BE4A" w14:textId="77777777" w:rsidR="00E15108" w:rsidRPr="00834B45" w:rsidRDefault="00E15108" w:rsidP="00B8136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34B45">
              <w:rPr>
                <w:color w:val="FFFFFF" w:themeColor="background1"/>
                <w:sz w:val="18"/>
                <w:szCs w:val="18"/>
              </w:rPr>
              <w:t>Brief description</w:t>
            </w:r>
          </w:p>
        </w:tc>
        <w:tc>
          <w:tcPr>
            <w:tcW w:w="1589" w:type="dxa"/>
          </w:tcPr>
          <w:p w14:paraId="31C8BE4B" w14:textId="77777777" w:rsidR="00E15108" w:rsidRPr="00834B45" w:rsidRDefault="00E15108" w:rsidP="00B8136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34B45">
              <w:rPr>
                <w:color w:val="FFFFFF" w:themeColor="background1"/>
                <w:sz w:val="18"/>
                <w:szCs w:val="18"/>
              </w:rPr>
              <w:t>Further information</w:t>
            </w:r>
          </w:p>
        </w:tc>
      </w:tr>
      <w:tr w:rsidR="00E15108" w:rsidRPr="00834B45" w14:paraId="31C8BE51"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4D" w14:textId="77777777" w:rsidR="00E15108" w:rsidRPr="00834B45" w:rsidRDefault="00E15108" w:rsidP="00B81366">
            <w:pPr>
              <w:pStyle w:val="BodyText"/>
              <w:rPr>
                <w:sz w:val="18"/>
                <w:szCs w:val="18"/>
              </w:rPr>
            </w:pPr>
            <w:r w:rsidRPr="00834B45">
              <w:rPr>
                <w:sz w:val="18"/>
                <w:szCs w:val="18"/>
              </w:rPr>
              <w:t>T1</w:t>
            </w:r>
          </w:p>
        </w:tc>
        <w:tc>
          <w:tcPr>
            <w:tcW w:w="1460" w:type="dxa"/>
          </w:tcPr>
          <w:p w14:paraId="31C8BE4E"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Landscape mapping</w:t>
            </w:r>
          </w:p>
        </w:tc>
        <w:tc>
          <w:tcPr>
            <w:tcW w:w="4591" w:type="dxa"/>
          </w:tcPr>
          <w:p w14:paraId="31C8BE4F" w14:textId="77777777" w:rsidR="00E15108" w:rsidRPr="00834B45" w:rsidRDefault="00E15108" w:rsidP="0077405B">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Locating and identifying ecosystems that are potentially groundwater</w:t>
            </w:r>
            <w:r w:rsidR="0077405B">
              <w:rPr>
                <w:sz w:val="18"/>
                <w:szCs w:val="18"/>
              </w:rPr>
              <w:t>-</w:t>
            </w:r>
            <w:r w:rsidRPr="00834B45">
              <w:rPr>
                <w:sz w:val="18"/>
                <w:szCs w:val="18"/>
              </w:rPr>
              <w:t xml:space="preserve">dependent based on a number of biophysical parameters such as depth to </w:t>
            </w:r>
            <w:proofErr w:type="spellStart"/>
            <w:r w:rsidR="00AB6B3E">
              <w:rPr>
                <w:sz w:val="18"/>
                <w:szCs w:val="18"/>
              </w:rPr>
              <w:t>watertable</w:t>
            </w:r>
            <w:proofErr w:type="spellEnd"/>
            <w:r w:rsidRPr="00834B45">
              <w:rPr>
                <w:sz w:val="18"/>
                <w:szCs w:val="18"/>
              </w:rPr>
              <w:t>, soils and vegetation type. Assessing primary productivity, water relations and/or condition of vegetation communities using remotely sensed images to infer use of groundwater</w:t>
            </w:r>
          </w:p>
        </w:tc>
        <w:tc>
          <w:tcPr>
            <w:tcW w:w="1589" w:type="dxa"/>
          </w:tcPr>
          <w:p w14:paraId="31C8BE50"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Toolbox</w:t>
            </w:r>
          </w:p>
        </w:tc>
      </w:tr>
      <w:tr w:rsidR="00E15108" w:rsidRPr="00834B45" w14:paraId="31C8BE56"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52" w14:textId="77777777" w:rsidR="00E15108" w:rsidRPr="00834B45" w:rsidRDefault="00E15108" w:rsidP="00B81366">
            <w:pPr>
              <w:pStyle w:val="BodyText"/>
              <w:rPr>
                <w:sz w:val="18"/>
                <w:szCs w:val="18"/>
              </w:rPr>
            </w:pPr>
            <w:r w:rsidRPr="00834B45">
              <w:rPr>
                <w:sz w:val="18"/>
                <w:szCs w:val="18"/>
              </w:rPr>
              <w:t>T2</w:t>
            </w:r>
          </w:p>
        </w:tc>
        <w:tc>
          <w:tcPr>
            <w:tcW w:w="1460" w:type="dxa"/>
          </w:tcPr>
          <w:p w14:paraId="31C8BE53"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Conceptual modelling</w:t>
            </w:r>
          </w:p>
        </w:tc>
        <w:tc>
          <w:tcPr>
            <w:tcW w:w="4591" w:type="dxa"/>
          </w:tcPr>
          <w:p w14:paraId="31C8BE54"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Documentation of a conceptual understanding of the location of GDEs and interactions between ecosystems and groundwater</w:t>
            </w:r>
          </w:p>
        </w:tc>
        <w:tc>
          <w:tcPr>
            <w:tcW w:w="1589" w:type="dxa"/>
          </w:tcPr>
          <w:p w14:paraId="31C8BE55"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GDE Toolbox</w:t>
            </w:r>
          </w:p>
        </w:tc>
      </w:tr>
      <w:tr w:rsidR="00E15108" w:rsidRPr="00834B45" w14:paraId="31C8BE5C"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57" w14:textId="77777777" w:rsidR="00E15108" w:rsidRPr="00834B45" w:rsidRDefault="00E15108" w:rsidP="00B81366">
            <w:pPr>
              <w:pStyle w:val="BodyText"/>
              <w:rPr>
                <w:sz w:val="18"/>
                <w:szCs w:val="18"/>
              </w:rPr>
            </w:pPr>
            <w:r w:rsidRPr="00834B45">
              <w:rPr>
                <w:sz w:val="18"/>
                <w:szCs w:val="18"/>
              </w:rPr>
              <w:t>NT1</w:t>
            </w:r>
          </w:p>
        </w:tc>
        <w:tc>
          <w:tcPr>
            <w:tcW w:w="1460" w:type="dxa"/>
          </w:tcPr>
          <w:p w14:paraId="31C8BE58"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Atlas</w:t>
            </w:r>
          </w:p>
        </w:tc>
        <w:tc>
          <w:tcPr>
            <w:tcW w:w="4591" w:type="dxa"/>
          </w:tcPr>
          <w:p w14:paraId="31C8BE59"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A web-based national dataset of Australian GDEs. The Atlas includes a national inflow-dependent landscapes layer which is derived from remotely sensed data. It indicates the likelihood that a landscape is utilising water in addition to rainfall</w:t>
            </w:r>
          </w:p>
          <w:p w14:paraId="31C8BE5A" w14:textId="77777777" w:rsidR="00E15108" w:rsidRPr="00834B45" w:rsidRDefault="00085933"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hyperlink r:id="rId116" w:history="1">
              <w:r w:rsidR="0021023E">
                <w:rPr>
                  <w:rStyle w:val="Hyperlink"/>
                  <w:sz w:val="18"/>
                  <w:szCs w:val="18"/>
                </w:rPr>
                <w:t>GDE Atlas</w:t>
              </w:r>
            </w:hyperlink>
          </w:p>
        </w:tc>
        <w:tc>
          <w:tcPr>
            <w:tcW w:w="1589" w:type="dxa"/>
          </w:tcPr>
          <w:p w14:paraId="31C8BE5B"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Bureau of Meteorology</w:t>
            </w:r>
          </w:p>
        </w:tc>
      </w:tr>
      <w:tr w:rsidR="00E15108" w:rsidRPr="00834B45" w14:paraId="31C8BE62"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5D" w14:textId="77777777" w:rsidR="00E15108" w:rsidRPr="00834B45" w:rsidRDefault="00E15108" w:rsidP="00B81366">
            <w:pPr>
              <w:pStyle w:val="BodyText"/>
              <w:rPr>
                <w:sz w:val="18"/>
                <w:szCs w:val="18"/>
              </w:rPr>
            </w:pPr>
            <w:r w:rsidRPr="00834B45">
              <w:rPr>
                <w:sz w:val="18"/>
                <w:szCs w:val="18"/>
              </w:rPr>
              <w:t>NT2</w:t>
            </w:r>
          </w:p>
        </w:tc>
        <w:tc>
          <w:tcPr>
            <w:tcW w:w="1460" w:type="dxa"/>
          </w:tcPr>
          <w:p w14:paraId="31C8BE5E"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ANAE classification</w:t>
            </w:r>
          </w:p>
        </w:tc>
        <w:tc>
          <w:tcPr>
            <w:tcW w:w="4591" w:type="dxa"/>
          </w:tcPr>
          <w:p w14:paraId="31C8BE5F"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Australian National Aquatic Ecosystem (ANAE) classification framework is a nationally consistent process for classifying aquatic ecosystem and habitat types within a regional and landscape setting</w:t>
            </w:r>
          </w:p>
          <w:p w14:paraId="31C8BE60" w14:textId="77777777" w:rsidR="00E15108" w:rsidRPr="00834B45" w:rsidRDefault="00085933"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hyperlink r:id="rId117" w:history="1">
              <w:r w:rsidR="0021023E">
                <w:rPr>
                  <w:rStyle w:val="Hyperlink"/>
                  <w:sz w:val="18"/>
                  <w:szCs w:val="18"/>
                </w:rPr>
                <w:t>ANAE</w:t>
              </w:r>
            </w:hyperlink>
          </w:p>
        </w:tc>
        <w:tc>
          <w:tcPr>
            <w:tcW w:w="1589" w:type="dxa"/>
          </w:tcPr>
          <w:p w14:paraId="31C8BE61"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Department of the Environment and Energy</w:t>
            </w:r>
          </w:p>
        </w:tc>
      </w:tr>
      <w:tr w:rsidR="00E15108" w:rsidRPr="00834B45" w14:paraId="31C8BE69"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63" w14:textId="77777777" w:rsidR="00E15108" w:rsidRPr="00834B45" w:rsidRDefault="00E15108" w:rsidP="00B81366">
            <w:pPr>
              <w:pStyle w:val="BodyText"/>
              <w:rPr>
                <w:sz w:val="18"/>
                <w:szCs w:val="18"/>
              </w:rPr>
            </w:pPr>
            <w:r w:rsidRPr="00834B45">
              <w:rPr>
                <w:sz w:val="18"/>
                <w:szCs w:val="18"/>
              </w:rPr>
              <w:t>NT3</w:t>
            </w:r>
          </w:p>
        </w:tc>
        <w:tc>
          <w:tcPr>
            <w:tcW w:w="1460" w:type="dxa"/>
          </w:tcPr>
          <w:p w14:paraId="31C8BE64"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typology</w:t>
            </w:r>
          </w:p>
        </w:tc>
        <w:tc>
          <w:tcPr>
            <w:tcW w:w="4591" w:type="dxa"/>
          </w:tcPr>
          <w:p w14:paraId="31C8BE65" w14:textId="77777777" w:rsidR="00E15108" w:rsidRPr="00834B45" w:rsidRDefault="00E15108" w:rsidP="00F1192F">
            <w:pPr>
              <w:pStyle w:val="BodyText"/>
              <w:numPr>
                <w:ilvl w:val="0"/>
                <w:numId w:val="19"/>
              </w:numPr>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Aquifer and cave ecosystems</w:t>
            </w:r>
          </w:p>
          <w:p w14:paraId="31C8BE66" w14:textId="77777777" w:rsidR="00E15108" w:rsidRPr="00834B45" w:rsidRDefault="00E15108" w:rsidP="00F1192F">
            <w:pPr>
              <w:pStyle w:val="BodyText"/>
              <w:numPr>
                <w:ilvl w:val="0"/>
                <w:numId w:val="19"/>
              </w:numPr>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Ecosystems dependent on the surface expression of groundwater</w:t>
            </w:r>
          </w:p>
          <w:p w14:paraId="31C8BE67" w14:textId="77777777" w:rsidR="00E15108" w:rsidRPr="00834B45" w:rsidRDefault="00E15108" w:rsidP="00F1192F">
            <w:pPr>
              <w:pStyle w:val="BodyText"/>
              <w:numPr>
                <w:ilvl w:val="0"/>
                <w:numId w:val="19"/>
              </w:numPr>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Ecosystems dependent on the subsurface expression of groundwater</w:t>
            </w:r>
          </w:p>
        </w:tc>
        <w:tc>
          <w:tcPr>
            <w:tcW w:w="1589" w:type="dxa"/>
          </w:tcPr>
          <w:p w14:paraId="31C8BE68"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Toolbox</w:t>
            </w:r>
          </w:p>
        </w:tc>
      </w:tr>
      <w:tr w:rsidR="00E15108" w:rsidRPr="00834B45" w14:paraId="31C8BE6E"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6A" w14:textId="77777777" w:rsidR="00E15108" w:rsidRPr="00834B45" w:rsidRDefault="00E15108" w:rsidP="00B81366">
            <w:pPr>
              <w:pStyle w:val="BodyText"/>
              <w:rPr>
                <w:sz w:val="18"/>
                <w:szCs w:val="18"/>
              </w:rPr>
            </w:pPr>
            <w:r w:rsidRPr="00834B45">
              <w:rPr>
                <w:sz w:val="18"/>
                <w:szCs w:val="18"/>
              </w:rPr>
              <w:t>T3</w:t>
            </w:r>
          </w:p>
        </w:tc>
        <w:tc>
          <w:tcPr>
            <w:tcW w:w="1460" w:type="dxa"/>
          </w:tcPr>
          <w:p w14:paraId="31C8BE6B"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Pre-dawn leaf water potential</w:t>
            </w:r>
          </w:p>
        </w:tc>
        <w:tc>
          <w:tcPr>
            <w:tcW w:w="4591" w:type="dxa"/>
          </w:tcPr>
          <w:p w14:paraId="31C8BE6C"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Identification of groundwater uptake by components of vegetation on the basis of pre-dawn measurements of leaf water potential</w:t>
            </w:r>
          </w:p>
        </w:tc>
        <w:tc>
          <w:tcPr>
            <w:tcW w:w="1589" w:type="dxa"/>
          </w:tcPr>
          <w:p w14:paraId="31C8BE6D"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GDE Toolbox</w:t>
            </w:r>
          </w:p>
        </w:tc>
      </w:tr>
      <w:tr w:rsidR="00E15108" w:rsidRPr="00834B45" w14:paraId="31C8BE73"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6F" w14:textId="77777777" w:rsidR="00E15108" w:rsidRPr="00834B45" w:rsidRDefault="00E15108" w:rsidP="00B81366">
            <w:pPr>
              <w:pStyle w:val="BodyText"/>
              <w:rPr>
                <w:sz w:val="18"/>
                <w:szCs w:val="18"/>
              </w:rPr>
            </w:pPr>
            <w:r w:rsidRPr="00834B45">
              <w:rPr>
                <w:sz w:val="18"/>
                <w:szCs w:val="18"/>
              </w:rPr>
              <w:t>T4</w:t>
            </w:r>
          </w:p>
        </w:tc>
        <w:tc>
          <w:tcPr>
            <w:tcW w:w="1460" w:type="dxa"/>
          </w:tcPr>
          <w:p w14:paraId="31C8BE70"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Plant water stable isotopes</w:t>
            </w:r>
          </w:p>
        </w:tc>
        <w:tc>
          <w:tcPr>
            <w:tcW w:w="4591" w:type="dxa"/>
          </w:tcPr>
          <w:p w14:paraId="31C8BE71"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Use of naturally occurring stable isotopes of water to identify sources of water used for plant transpiration</w:t>
            </w:r>
          </w:p>
        </w:tc>
        <w:tc>
          <w:tcPr>
            <w:tcW w:w="1589" w:type="dxa"/>
          </w:tcPr>
          <w:p w14:paraId="31C8BE72"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Toolbox</w:t>
            </w:r>
          </w:p>
        </w:tc>
      </w:tr>
      <w:tr w:rsidR="00E15108" w:rsidRPr="00834B45" w14:paraId="31C8BE78"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74" w14:textId="77777777" w:rsidR="00E15108" w:rsidRPr="00834B45" w:rsidRDefault="00E15108" w:rsidP="00B81366">
            <w:pPr>
              <w:pStyle w:val="BodyText"/>
              <w:rPr>
                <w:sz w:val="18"/>
                <w:szCs w:val="18"/>
              </w:rPr>
            </w:pPr>
            <w:r w:rsidRPr="00834B45">
              <w:rPr>
                <w:sz w:val="18"/>
                <w:szCs w:val="18"/>
              </w:rPr>
              <w:t>T5</w:t>
            </w:r>
          </w:p>
        </w:tc>
        <w:tc>
          <w:tcPr>
            <w:tcW w:w="1460" w:type="dxa"/>
          </w:tcPr>
          <w:p w14:paraId="31C8BE75"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Plant water use modelling</w:t>
            </w:r>
          </w:p>
        </w:tc>
        <w:tc>
          <w:tcPr>
            <w:tcW w:w="4591" w:type="dxa"/>
          </w:tcPr>
          <w:p w14:paraId="31C8BE76"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Identification of sources and volumes of water used for plant transpiration, by using mathematical simulations of plant function</w:t>
            </w:r>
          </w:p>
        </w:tc>
        <w:tc>
          <w:tcPr>
            <w:tcW w:w="1589" w:type="dxa"/>
          </w:tcPr>
          <w:p w14:paraId="31C8BE77"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GDE Toolbox</w:t>
            </w:r>
          </w:p>
        </w:tc>
      </w:tr>
      <w:tr w:rsidR="00E15108" w:rsidRPr="00834B45" w14:paraId="31C8BE7D"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79" w14:textId="77777777" w:rsidR="00E15108" w:rsidRPr="00834B45" w:rsidRDefault="00E15108" w:rsidP="00B81366">
            <w:pPr>
              <w:pStyle w:val="BodyText"/>
              <w:rPr>
                <w:sz w:val="18"/>
                <w:szCs w:val="18"/>
              </w:rPr>
            </w:pPr>
            <w:r w:rsidRPr="00834B45">
              <w:rPr>
                <w:sz w:val="18"/>
                <w:szCs w:val="18"/>
              </w:rPr>
              <w:t>T6</w:t>
            </w:r>
          </w:p>
        </w:tc>
        <w:tc>
          <w:tcPr>
            <w:tcW w:w="1460" w:type="dxa"/>
          </w:tcPr>
          <w:p w14:paraId="31C8BE7A"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Plant rooting depth and morphology</w:t>
            </w:r>
          </w:p>
        </w:tc>
        <w:tc>
          <w:tcPr>
            <w:tcW w:w="4591" w:type="dxa"/>
          </w:tcPr>
          <w:p w14:paraId="31C8BE7B"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 xml:space="preserve">Comparison of the depth and morphology of plant root systems with measured or estimated depth to the </w:t>
            </w:r>
            <w:proofErr w:type="spellStart"/>
            <w:r w:rsidR="00AB6B3E">
              <w:rPr>
                <w:sz w:val="18"/>
                <w:szCs w:val="18"/>
              </w:rPr>
              <w:t>watertable</w:t>
            </w:r>
            <w:proofErr w:type="spellEnd"/>
            <w:r w:rsidRPr="00834B45">
              <w:rPr>
                <w:sz w:val="18"/>
                <w:szCs w:val="18"/>
              </w:rPr>
              <w:t>, in order to assess the potential for groundwater uptake</w:t>
            </w:r>
          </w:p>
        </w:tc>
        <w:tc>
          <w:tcPr>
            <w:tcW w:w="1589" w:type="dxa"/>
          </w:tcPr>
          <w:p w14:paraId="31C8BE7C"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Toolbox</w:t>
            </w:r>
          </w:p>
        </w:tc>
      </w:tr>
      <w:tr w:rsidR="00E15108" w:rsidRPr="00834B45" w14:paraId="31C8BE82"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7E" w14:textId="77777777" w:rsidR="00E15108" w:rsidRPr="00834B45" w:rsidRDefault="00E15108" w:rsidP="00B81366">
            <w:pPr>
              <w:pStyle w:val="BodyText"/>
              <w:rPr>
                <w:sz w:val="18"/>
                <w:szCs w:val="18"/>
              </w:rPr>
            </w:pPr>
            <w:r w:rsidRPr="00834B45">
              <w:rPr>
                <w:sz w:val="18"/>
                <w:szCs w:val="18"/>
              </w:rPr>
              <w:lastRenderedPageBreak/>
              <w:t>T7</w:t>
            </w:r>
          </w:p>
        </w:tc>
        <w:tc>
          <w:tcPr>
            <w:tcW w:w="1460" w:type="dxa"/>
          </w:tcPr>
          <w:p w14:paraId="31C8BE7F"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Plant groundwater use determination</w:t>
            </w:r>
          </w:p>
        </w:tc>
        <w:tc>
          <w:tcPr>
            <w:tcW w:w="4591" w:type="dxa"/>
          </w:tcPr>
          <w:p w14:paraId="31C8BE80"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Measures of Leaf Area Index and climatic data are used to estimate groundwater discharge from terrestrial ecosystems that have access to groundwater</w:t>
            </w:r>
          </w:p>
        </w:tc>
        <w:tc>
          <w:tcPr>
            <w:tcW w:w="1589" w:type="dxa"/>
          </w:tcPr>
          <w:p w14:paraId="31C8BE81"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GDE Toolbox</w:t>
            </w:r>
          </w:p>
        </w:tc>
      </w:tr>
      <w:tr w:rsidR="00E15108" w:rsidRPr="00834B45" w14:paraId="31C8BE87"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83" w14:textId="77777777" w:rsidR="00E15108" w:rsidRPr="00834B45" w:rsidRDefault="00E15108" w:rsidP="00B81366">
            <w:pPr>
              <w:pStyle w:val="BodyText"/>
              <w:rPr>
                <w:sz w:val="18"/>
                <w:szCs w:val="18"/>
              </w:rPr>
            </w:pPr>
            <w:r w:rsidRPr="00834B45">
              <w:rPr>
                <w:sz w:val="18"/>
                <w:szCs w:val="18"/>
              </w:rPr>
              <w:t>T8</w:t>
            </w:r>
          </w:p>
        </w:tc>
        <w:tc>
          <w:tcPr>
            <w:tcW w:w="1460" w:type="dxa"/>
          </w:tcPr>
          <w:p w14:paraId="31C8BE84"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Water balance - vegetation</w:t>
            </w:r>
          </w:p>
        </w:tc>
        <w:tc>
          <w:tcPr>
            <w:tcW w:w="4591" w:type="dxa"/>
          </w:tcPr>
          <w:p w14:paraId="31C8BE85"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Use of water balance measurements and/or calculations to determine whether and to what extent plant water use is dependent on groundwater uptake</w:t>
            </w:r>
          </w:p>
        </w:tc>
        <w:tc>
          <w:tcPr>
            <w:tcW w:w="1589" w:type="dxa"/>
          </w:tcPr>
          <w:p w14:paraId="31C8BE86"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Toolbox</w:t>
            </w:r>
          </w:p>
        </w:tc>
      </w:tr>
      <w:tr w:rsidR="00E15108" w:rsidRPr="00834B45" w14:paraId="31C8BE8C"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88" w14:textId="77777777" w:rsidR="00E15108" w:rsidRPr="00834B45" w:rsidRDefault="00E15108" w:rsidP="00B81366">
            <w:pPr>
              <w:pStyle w:val="BodyText"/>
              <w:rPr>
                <w:sz w:val="18"/>
                <w:szCs w:val="18"/>
              </w:rPr>
            </w:pPr>
            <w:r w:rsidRPr="00834B45">
              <w:rPr>
                <w:sz w:val="18"/>
                <w:szCs w:val="18"/>
              </w:rPr>
              <w:t>T9</w:t>
            </w:r>
          </w:p>
        </w:tc>
        <w:tc>
          <w:tcPr>
            <w:tcW w:w="1460" w:type="dxa"/>
          </w:tcPr>
          <w:p w14:paraId="31C8BE89"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Stygofauna sampling</w:t>
            </w:r>
          </w:p>
        </w:tc>
        <w:tc>
          <w:tcPr>
            <w:tcW w:w="4591" w:type="dxa"/>
          </w:tcPr>
          <w:p w14:paraId="31C8BE8A"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Techniques available to</w:t>
            </w:r>
            <w:r>
              <w:rPr>
                <w:sz w:val="18"/>
                <w:szCs w:val="18"/>
              </w:rPr>
              <w:t xml:space="preserve"> collect groundwater fauna </w:t>
            </w:r>
          </w:p>
        </w:tc>
        <w:tc>
          <w:tcPr>
            <w:tcW w:w="1589" w:type="dxa"/>
          </w:tcPr>
          <w:p w14:paraId="31C8BE8B"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GDE Toolbox</w:t>
            </w:r>
          </w:p>
        </w:tc>
      </w:tr>
      <w:tr w:rsidR="00E15108" w:rsidRPr="00834B45" w14:paraId="31C8BE91"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8D" w14:textId="77777777" w:rsidR="00E15108" w:rsidRPr="00834B45" w:rsidRDefault="00E15108" w:rsidP="00B81366">
            <w:pPr>
              <w:pStyle w:val="BodyText"/>
              <w:rPr>
                <w:sz w:val="18"/>
                <w:szCs w:val="18"/>
              </w:rPr>
            </w:pPr>
            <w:r w:rsidRPr="00834B45">
              <w:rPr>
                <w:sz w:val="18"/>
                <w:szCs w:val="18"/>
              </w:rPr>
              <w:t>T10</w:t>
            </w:r>
          </w:p>
        </w:tc>
        <w:tc>
          <w:tcPr>
            <w:tcW w:w="1460" w:type="dxa"/>
          </w:tcPr>
          <w:p w14:paraId="31C8BE8E"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Evaluation of surface water – groundwater interactions</w:t>
            </w:r>
          </w:p>
        </w:tc>
        <w:tc>
          <w:tcPr>
            <w:tcW w:w="4591" w:type="dxa"/>
          </w:tcPr>
          <w:p w14:paraId="31C8BE8F"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 xml:space="preserve">Analysis of the hydraulics of surface water – groundwater interactions. The processes by which groundwater discharge into surface water systems provides insight into the nature of groundwater dependency in wetlands and </w:t>
            </w:r>
            <w:proofErr w:type="spellStart"/>
            <w:r w:rsidRPr="00834B45">
              <w:rPr>
                <w:sz w:val="18"/>
                <w:szCs w:val="18"/>
              </w:rPr>
              <w:t>baseflow</w:t>
            </w:r>
            <w:proofErr w:type="spellEnd"/>
            <w:r w:rsidRPr="00834B45">
              <w:rPr>
                <w:sz w:val="18"/>
                <w:szCs w:val="18"/>
              </w:rPr>
              <w:t xml:space="preserve"> river ecosystems</w:t>
            </w:r>
          </w:p>
        </w:tc>
        <w:tc>
          <w:tcPr>
            <w:tcW w:w="1589" w:type="dxa"/>
          </w:tcPr>
          <w:p w14:paraId="31C8BE90"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Toolbox</w:t>
            </w:r>
          </w:p>
        </w:tc>
      </w:tr>
      <w:tr w:rsidR="00E15108" w:rsidRPr="00834B45" w14:paraId="31C8BE96"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92" w14:textId="77777777" w:rsidR="00E15108" w:rsidRPr="00834B45" w:rsidRDefault="00E15108" w:rsidP="00B81366">
            <w:pPr>
              <w:pStyle w:val="BodyText"/>
              <w:rPr>
                <w:sz w:val="18"/>
                <w:szCs w:val="18"/>
              </w:rPr>
            </w:pPr>
            <w:r w:rsidRPr="00834B45">
              <w:rPr>
                <w:sz w:val="18"/>
                <w:szCs w:val="18"/>
              </w:rPr>
              <w:t>T11</w:t>
            </w:r>
          </w:p>
        </w:tc>
        <w:tc>
          <w:tcPr>
            <w:tcW w:w="1460" w:type="dxa"/>
          </w:tcPr>
          <w:p w14:paraId="31C8BE93"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Environmental tracers</w:t>
            </w:r>
          </w:p>
        </w:tc>
        <w:tc>
          <w:tcPr>
            <w:tcW w:w="4591" w:type="dxa"/>
          </w:tcPr>
          <w:p w14:paraId="31C8BE94"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 xml:space="preserve">Environmental tracers are a naturally occurring physical or chemical property of water, or any substance dissolved in water, that can be used to trace its </w:t>
            </w:r>
            <w:proofErr w:type="spellStart"/>
            <w:r w:rsidRPr="00834B45">
              <w:rPr>
                <w:sz w:val="18"/>
                <w:szCs w:val="18"/>
              </w:rPr>
              <w:t>flowpath</w:t>
            </w:r>
            <w:proofErr w:type="spellEnd"/>
            <w:r w:rsidRPr="00834B45">
              <w:rPr>
                <w:sz w:val="18"/>
                <w:szCs w:val="18"/>
              </w:rPr>
              <w:t>. Analysis and interpretation of these properties of surface water and groundwater can be used to identify groundwater contribution to dependent ecosystems</w:t>
            </w:r>
          </w:p>
        </w:tc>
        <w:tc>
          <w:tcPr>
            <w:tcW w:w="1589" w:type="dxa"/>
          </w:tcPr>
          <w:p w14:paraId="31C8BE95"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GDE Toolbox</w:t>
            </w:r>
          </w:p>
        </w:tc>
      </w:tr>
      <w:tr w:rsidR="00E15108" w:rsidRPr="00834B45" w14:paraId="31C8BE9B"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97" w14:textId="77777777" w:rsidR="00E15108" w:rsidRPr="00834B45" w:rsidRDefault="00E15108" w:rsidP="00B81366">
            <w:pPr>
              <w:pStyle w:val="BodyText"/>
              <w:rPr>
                <w:sz w:val="18"/>
                <w:szCs w:val="18"/>
              </w:rPr>
            </w:pPr>
            <w:r w:rsidRPr="00834B45">
              <w:rPr>
                <w:sz w:val="18"/>
                <w:szCs w:val="18"/>
              </w:rPr>
              <w:t>T12</w:t>
            </w:r>
          </w:p>
        </w:tc>
        <w:tc>
          <w:tcPr>
            <w:tcW w:w="1460" w:type="dxa"/>
          </w:tcPr>
          <w:p w14:paraId="31C8BE98"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Introduced tracers</w:t>
            </w:r>
          </w:p>
        </w:tc>
        <w:tc>
          <w:tcPr>
            <w:tcW w:w="4591" w:type="dxa"/>
          </w:tcPr>
          <w:p w14:paraId="31C8BE99"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 xml:space="preserve">Analysis of deliberately introduced </w:t>
            </w:r>
            <w:proofErr w:type="spellStart"/>
            <w:r w:rsidRPr="00834B45">
              <w:rPr>
                <w:sz w:val="18"/>
                <w:szCs w:val="18"/>
              </w:rPr>
              <w:t>hydrochemical</w:t>
            </w:r>
            <w:proofErr w:type="spellEnd"/>
            <w:r w:rsidRPr="00834B45">
              <w:rPr>
                <w:sz w:val="18"/>
                <w:szCs w:val="18"/>
              </w:rPr>
              <w:t xml:space="preserve"> tracers to identify water sources and surface water – groundwater mixing relationships</w:t>
            </w:r>
          </w:p>
        </w:tc>
        <w:tc>
          <w:tcPr>
            <w:tcW w:w="1589" w:type="dxa"/>
          </w:tcPr>
          <w:p w14:paraId="31C8BE9A"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Toolbox</w:t>
            </w:r>
          </w:p>
        </w:tc>
      </w:tr>
      <w:tr w:rsidR="00E15108" w:rsidRPr="00834B45" w14:paraId="31C8BEA0"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9C" w14:textId="77777777" w:rsidR="00E15108" w:rsidRPr="00834B45" w:rsidRDefault="00E15108" w:rsidP="00B81366">
            <w:pPr>
              <w:pStyle w:val="BodyText"/>
              <w:rPr>
                <w:sz w:val="18"/>
                <w:szCs w:val="18"/>
              </w:rPr>
            </w:pPr>
            <w:r w:rsidRPr="00834B45">
              <w:rPr>
                <w:sz w:val="18"/>
                <w:szCs w:val="18"/>
              </w:rPr>
              <w:t>NT4</w:t>
            </w:r>
          </w:p>
        </w:tc>
        <w:tc>
          <w:tcPr>
            <w:tcW w:w="1460" w:type="dxa"/>
          </w:tcPr>
          <w:p w14:paraId="31C8BE9D"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Genetic/DNA analysis</w:t>
            </w:r>
          </w:p>
        </w:tc>
        <w:tc>
          <w:tcPr>
            <w:tcW w:w="4591" w:type="dxa"/>
          </w:tcPr>
          <w:p w14:paraId="31C8BE9E"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Analysis of environmental DNA, or DNA collected from captured stygofauna, to identify species present in an aquifer </w:t>
            </w:r>
          </w:p>
        </w:tc>
        <w:tc>
          <w:tcPr>
            <w:tcW w:w="1589" w:type="dxa"/>
          </w:tcPr>
          <w:p w14:paraId="31C8BE9F"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E15108" w:rsidRPr="00834B45" w14:paraId="31C8BEA5"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A1" w14:textId="77777777" w:rsidR="00E15108" w:rsidRPr="00834B45" w:rsidRDefault="00E15108" w:rsidP="00B81366">
            <w:pPr>
              <w:pStyle w:val="BodyText"/>
              <w:rPr>
                <w:sz w:val="18"/>
                <w:szCs w:val="18"/>
              </w:rPr>
            </w:pPr>
            <w:r w:rsidRPr="00834B45">
              <w:rPr>
                <w:sz w:val="18"/>
                <w:szCs w:val="18"/>
              </w:rPr>
              <w:t>NT5</w:t>
            </w:r>
          </w:p>
        </w:tc>
        <w:tc>
          <w:tcPr>
            <w:tcW w:w="1460" w:type="dxa"/>
          </w:tcPr>
          <w:p w14:paraId="31C8BEA2"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Literature</w:t>
            </w:r>
          </w:p>
        </w:tc>
        <w:tc>
          <w:tcPr>
            <w:tcW w:w="4591" w:type="dxa"/>
          </w:tcPr>
          <w:p w14:paraId="31C8BEA3" w14:textId="77777777" w:rsidR="00E15108" w:rsidRPr="00834B45" w:rsidRDefault="00E15108" w:rsidP="0077405B">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Review existing journal articles and reports. </w:t>
            </w:r>
            <w:r w:rsidRPr="00834B45">
              <w:rPr>
                <w:sz w:val="18"/>
                <w:szCs w:val="18"/>
              </w:rPr>
              <w:t>Look</w:t>
            </w:r>
            <w:r w:rsidR="0077405B">
              <w:rPr>
                <w:sz w:val="18"/>
                <w:szCs w:val="18"/>
              </w:rPr>
              <w:t xml:space="preserve"> </w:t>
            </w:r>
            <w:r w:rsidRPr="00834B45">
              <w:rPr>
                <w:sz w:val="18"/>
                <w:szCs w:val="18"/>
              </w:rPr>
              <w:t>up conservation status and endemism of ecosystems</w:t>
            </w:r>
          </w:p>
        </w:tc>
        <w:tc>
          <w:tcPr>
            <w:tcW w:w="1589" w:type="dxa"/>
          </w:tcPr>
          <w:p w14:paraId="31C8BEA4"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E15108" w:rsidRPr="00834B45" w14:paraId="31C8BEAA"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A6" w14:textId="77777777" w:rsidR="00E15108" w:rsidRPr="00834B45" w:rsidRDefault="00E15108" w:rsidP="00B81366">
            <w:pPr>
              <w:pStyle w:val="BodyText"/>
              <w:rPr>
                <w:sz w:val="18"/>
                <w:szCs w:val="18"/>
              </w:rPr>
            </w:pPr>
            <w:r w:rsidRPr="00834B45">
              <w:rPr>
                <w:sz w:val="18"/>
                <w:szCs w:val="18"/>
              </w:rPr>
              <w:t>T13</w:t>
            </w:r>
          </w:p>
        </w:tc>
        <w:tc>
          <w:tcPr>
            <w:tcW w:w="1460" w:type="dxa"/>
          </w:tcPr>
          <w:p w14:paraId="31C8BEA7"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Long-term observation of ecosystem response to change</w:t>
            </w:r>
          </w:p>
        </w:tc>
        <w:tc>
          <w:tcPr>
            <w:tcW w:w="4591" w:type="dxa"/>
          </w:tcPr>
          <w:p w14:paraId="31C8BEA8"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Long-term observations of GDEs and the hydrologic environment they exist within to establish ecosystem responses to changes in water regime due to climat</w:t>
            </w:r>
            <w:r w:rsidR="0077405B">
              <w:rPr>
                <w:sz w:val="18"/>
                <w:szCs w:val="18"/>
              </w:rPr>
              <w:t>ic</w:t>
            </w:r>
            <w:r w:rsidRPr="00834B45">
              <w:rPr>
                <w:sz w:val="18"/>
                <w:szCs w:val="18"/>
              </w:rPr>
              <w:t xml:space="preserve"> </w:t>
            </w:r>
            <w:r w:rsidR="0077405B">
              <w:rPr>
                <w:sz w:val="18"/>
                <w:szCs w:val="18"/>
              </w:rPr>
              <w:t>and/</w:t>
            </w:r>
            <w:r w:rsidRPr="00834B45">
              <w:rPr>
                <w:sz w:val="18"/>
                <w:szCs w:val="18"/>
              </w:rPr>
              <w:t>or anthropogenic influences</w:t>
            </w:r>
          </w:p>
        </w:tc>
        <w:tc>
          <w:tcPr>
            <w:tcW w:w="1589" w:type="dxa"/>
          </w:tcPr>
          <w:p w14:paraId="31C8BEA9"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GDE Toolbox</w:t>
            </w:r>
          </w:p>
        </w:tc>
      </w:tr>
      <w:tr w:rsidR="00E15108" w:rsidRPr="00834B45" w14:paraId="31C8BEAF"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AB" w14:textId="77777777" w:rsidR="00E15108" w:rsidRPr="00834B45" w:rsidRDefault="00E15108" w:rsidP="00B81366">
            <w:pPr>
              <w:pStyle w:val="BodyText"/>
              <w:rPr>
                <w:sz w:val="18"/>
                <w:szCs w:val="18"/>
              </w:rPr>
            </w:pPr>
            <w:r w:rsidRPr="00834B45">
              <w:rPr>
                <w:sz w:val="18"/>
                <w:szCs w:val="18"/>
              </w:rPr>
              <w:t>T14</w:t>
            </w:r>
          </w:p>
        </w:tc>
        <w:tc>
          <w:tcPr>
            <w:tcW w:w="1460" w:type="dxa"/>
          </w:tcPr>
          <w:p w14:paraId="31C8BEAC"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Numerical groundwater modelling</w:t>
            </w:r>
          </w:p>
        </w:tc>
        <w:tc>
          <w:tcPr>
            <w:tcW w:w="4591" w:type="dxa"/>
          </w:tcPr>
          <w:p w14:paraId="31C8BEAD"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Construction of mathematical models to simulate groundwater flow systems</w:t>
            </w:r>
          </w:p>
        </w:tc>
        <w:tc>
          <w:tcPr>
            <w:tcW w:w="1589" w:type="dxa"/>
          </w:tcPr>
          <w:p w14:paraId="31C8BEAE" w14:textId="77777777" w:rsidR="00E15108" w:rsidRPr="00834B45" w:rsidRDefault="00E15108" w:rsidP="00B8136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GDE Toolbox</w:t>
            </w:r>
          </w:p>
        </w:tc>
      </w:tr>
      <w:tr w:rsidR="00E15108" w:rsidRPr="00834B45" w14:paraId="31C8BEB4"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561" w:type="dxa"/>
          </w:tcPr>
          <w:p w14:paraId="31C8BEB0" w14:textId="77777777" w:rsidR="00E15108" w:rsidRPr="00834B45" w:rsidRDefault="00E15108" w:rsidP="00B81366">
            <w:pPr>
              <w:pStyle w:val="BodyText"/>
              <w:rPr>
                <w:sz w:val="18"/>
                <w:szCs w:val="18"/>
              </w:rPr>
            </w:pPr>
            <w:r w:rsidRPr="00834B45">
              <w:rPr>
                <w:sz w:val="18"/>
                <w:szCs w:val="18"/>
              </w:rPr>
              <w:t>NT5</w:t>
            </w:r>
          </w:p>
        </w:tc>
        <w:tc>
          <w:tcPr>
            <w:tcW w:w="1460" w:type="dxa"/>
          </w:tcPr>
          <w:p w14:paraId="31C8BEB1"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Remote sensing</w:t>
            </w:r>
          </w:p>
        </w:tc>
        <w:tc>
          <w:tcPr>
            <w:tcW w:w="4591" w:type="dxa"/>
          </w:tcPr>
          <w:p w14:paraId="31C8BEB2"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Use of vegetation greenness, wetness, land surface temperature to discriminate GDEs. Use of wetness index to delineate water bodies.</w:t>
            </w:r>
          </w:p>
        </w:tc>
        <w:tc>
          <w:tcPr>
            <w:tcW w:w="1589" w:type="dxa"/>
          </w:tcPr>
          <w:p w14:paraId="31C8BEB3" w14:textId="77777777" w:rsidR="00E15108" w:rsidRPr="00834B45" w:rsidRDefault="00E15108" w:rsidP="00B81366">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bl>
    <w:p w14:paraId="31C8BEB5" w14:textId="77777777" w:rsidR="009C4E88" w:rsidRPr="009C4E88" w:rsidRDefault="009C4E88" w:rsidP="009C4E88">
      <w:pPr>
        <w:pStyle w:val="BodyText"/>
      </w:pPr>
    </w:p>
    <w:p w14:paraId="31C8BEB6" w14:textId="77777777" w:rsidR="00905C77" w:rsidRDefault="00905C77" w:rsidP="0000258D">
      <w:pPr>
        <w:pStyle w:val="Heading9"/>
        <w:rPr>
          <w:rFonts w:eastAsia="Calibri"/>
        </w:rPr>
      </w:pPr>
      <w:bookmarkStart w:id="98" w:name="_Toc509996506"/>
      <w:r>
        <w:rPr>
          <w:rFonts w:eastAsia="Calibri"/>
        </w:rPr>
        <w:lastRenderedPageBreak/>
        <w:t>Resources required for identifying GDEs</w:t>
      </w:r>
      <w:r w:rsidR="0077405B">
        <w:rPr>
          <w:rFonts w:eastAsia="Calibri"/>
        </w:rPr>
        <w:t>, including</w:t>
      </w:r>
      <w:r>
        <w:rPr>
          <w:rFonts w:eastAsia="Calibri"/>
        </w:rPr>
        <w:t xml:space="preserve"> </w:t>
      </w:r>
      <w:r w:rsidR="0077405B">
        <w:rPr>
          <w:rFonts w:eastAsia="Calibri"/>
        </w:rPr>
        <w:t>n</w:t>
      </w:r>
      <w:r>
        <w:rPr>
          <w:rFonts w:eastAsia="Calibri"/>
        </w:rPr>
        <w:t>ational data availability</w:t>
      </w:r>
      <w:bookmarkEnd w:id="98"/>
    </w:p>
    <w:p w14:paraId="31C8BEB7" w14:textId="77777777" w:rsidR="00905C77" w:rsidRPr="003E1A05" w:rsidRDefault="00BB1DD0" w:rsidP="00905C77">
      <w:pPr>
        <w:pStyle w:val="Caption"/>
        <w:rPr>
          <w:b/>
          <w:color w:val="000000" w:themeColor="text1"/>
        </w:rPr>
      </w:pPr>
      <w:bookmarkStart w:id="99" w:name="_Ref507708552"/>
      <w:bookmarkStart w:id="100" w:name="_Toc509991055"/>
      <w:r>
        <w:t>App</w:t>
      </w:r>
      <w:r w:rsidR="00905C77">
        <w:t xml:space="preserve"> Table </w:t>
      </w:r>
      <w:r w:rsidR="00085933">
        <w:fldChar w:fldCharType="begin"/>
      </w:r>
      <w:r w:rsidR="00085933">
        <w:instrText xml:space="preserve"> SEQ Apx_Table \* ARABIC </w:instrText>
      </w:r>
      <w:r w:rsidR="00085933">
        <w:fldChar w:fldCharType="separate"/>
      </w:r>
      <w:r w:rsidR="00E96B43">
        <w:rPr>
          <w:noProof/>
        </w:rPr>
        <w:t>3</w:t>
      </w:r>
      <w:r w:rsidR="00085933">
        <w:rPr>
          <w:noProof/>
        </w:rPr>
        <w:fldChar w:fldCharType="end"/>
      </w:r>
      <w:bookmarkEnd w:id="99"/>
      <w:r w:rsidR="00905C77" w:rsidRPr="003E1A05">
        <w:rPr>
          <w:color w:val="000000" w:themeColor="text1"/>
        </w:rPr>
        <w:t xml:space="preserve">. Landscape and </w:t>
      </w:r>
      <w:r w:rsidR="0077405B">
        <w:rPr>
          <w:color w:val="000000" w:themeColor="text1"/>
        </w:rPr>
        <w:t>e</w:t>
      </w:r>
      <w:r w:rsidR="00905C77" w:rsidRPr="003E1A05">
        <w:rPr>
          <w:color w:val="000000" w:themeColor="text1"/>
        </w:rPr>
        <w:t xml:space="preserve">cosystem data sets that are useful to help </w:t>
      </w:r>
      <w:r w:rsidR="0077405B">
        <w:rPr>
          <w:color w:val="000000" w:themeColor="text1"/>
        </w:rPr>
        <w:t>identify</w:t>
      </w:r>
      <w:r w:rsidR="0077405B" w:rsidRPr="003E1A05">
        <w:rPr>
          <w:color w:val="000000" w:themeColor="text1"/>
        </w:rPr>
        <w:t xml:space="preserve"> </w:t>
      </w:r>
      <w:r w:rsidR="00905C77" w:rsidRPr="003E1A05">
        <w:rPr>
          <w:color w:val="000000" w:themeColor="text1"/>
        </w:rPr>
        <w:t>GDEs. National</w:t>
      </w:r>
      <w:r w:rsidR="0077405B">
        <w:rPr>
          <w:color w:val="000000" w:themeColor="text1"/>
        </w:rPr>
        <w:t>-</w:t>
      </w:r>
      <w:r w:rsidR="00905C77" w:rsidRPr="003E1A05">
        <w:rPr>
          <w:color w:val="000000" w:themeColor="text1"/>
        </w:rPr>
        <w:t>scale dataset sources are shown</w:t>
      </w:r>
      <w:bookmarkEnd w:id="100"/>
    </w:p>
    <w:tbl>
      <w:tblPr>
        <w:tblStyle w:val="TableCSIRO"/>
        <w:tblW w:w="0" w:type="auto"/>
        <w:tblLook w:val="04A0" w:firstRow="1" w:lastRow="0" w:firstColumn="1" w:lastColumn="0" w:noHBand="0" w:noVBand="1"/>
      </w:tblPr>
      <w:tblGrid>
        <w:gridCol w:w="3747"/>
        <w:gridCol w:w="2693"/>
        <w:gridCol w:w="3913"/>
      </w:tblGrid>
      <w:tr w:rsidR="00905C77" w:rsidRPr="00834B45" w14:paraId="31C8BEBB" w14:textId="77777777" w:rsidTr="00B813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1C8BEB8" w14:textId="77777777" w:rsidR="00905C77" w:rsidRPr="00834B45" w:rsidRDefault="00905C77" w:rsidP="00B81366">
            <w:pPr>
              <w:pStyle w:val="BodyText"/>
              <w:spacing w:before="0"/>
              <w:rPr>
                <w:color w:val="FFFFFF" w:themeColor="background1"/>
                <w:sz w:val="18"/>
                <w:szCs w:val="18"/>
              </w:rPr>
            </w:pPr>
            <w:r w:rsidRPr="00834B45">
              <w:rPr>
                <w:b w:val="0"/>
                <w:bCs w:val="0"/>
                <w:color w:val="FFFFFF" w:themeColor="background1"/>
                <w:sz w:val="18"/>
                <w:szCs w:val="18"/>
              </w:rPr>
              <w:t xml:space="preserve">Ancillary data </w:t>
            </w:r>
          </w:p>
        </w:tc>
        <w:tc>
          <w:tcPr>
            <w:tcW w:w="0" w:type="auto"/>
          </w:tcPr>
          <w:p w14:paraId="31C8BEB9" w14:textId="77777777" w:rsidR="00905C77" w:rsidRPr="00834B45" w:rsidRDefault="00905C77" w:rsidP="00B81366">
            <w:pPr>
              <w:pStyle w:val="BodyText"/>
              <w:spacing w:before="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34B45">
              <w:rPr>
                <w:b w:val="0"/>
                <w:bCs w:val="0"/>
                <w:color w:val="FFFFFF" w:themeColor="background1"/>
                <w:sz w:val="18"/>
                <w:szCs w:val="18"/>
              </w:rPr>
              <w:t>Likely source</w:t>
            </w:r>
          </w:p>
        </w:tc>
        <w:tc>
          <w:tcPr>
            <w:tcW w:w="0" w:type="auto"/>
          </w:tcPr>
          <w:p w14:paraId="31C8BEBA" w14:textId="77777777" w:rsidR="00905C77" w:rsidRPr="00834B45" w:rsidRDefault="00905C77" w:rsidP="00B81366">
            <w:pPr>
              <w:pStyle w:val="BodyText"/>
              <w:spacing w:before="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34B45">
              <w:rPr>
                <w:b w:val="0"/>
                <w:bCs w:val="0"/>
                <w:color w:val="FFFFFF" w:themeColor="background1"/>
                <w:sz w:val="18"/>
                <w:szCs w:val="18"/>
              </w:rPr>
              <w:t>National dataset/Source</w:t>
            </w:r>
          </w:p>
        </w:tc>
      </w:tr>
      <w:tr w:rsidR="00905C77" w:rsidRPr="00834B45" w14:paraId="31C8BEBF"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EBC" w14:textId="77777777" w:rsidR="00905C77" w:rsidRPr="00834B45" w:rsidRDefault="00905C77" w:rsidP="00B81366">
            <w:pPr>
              <w:pStyle w:val="BodyText"/>
              <w:spacing w:before="0"/>
              <w:rPr>
                <w:sz w:val="18"/>
                <w:szCs w:val="18"/>
              </w:rPr>
            </w:pPr>
            <w:r w:rsidRPr="0028514F">
              <w:rPr>
                <w:i/>
                <w:iCs/>
                <w:color w:val="000000" w:themeColor="text1"/>
                <w:sz w:val="18"/>
                <w:szCs w:val="18"/>
              </w:rPr>
              <w:t>Landscape datasets</w:t>
            </w:r>
          </w:p>
        </w:tc>
        <w:tc>
          <w:tcPr>
            <w:tcW w:w="0" w:type="auto"/>
          </w:tcPr>
          <w:p w14:paraId="31C8BEBD"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31C8BEBE"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905C77" w:rsidRPr="00834B45" w14:paraId="31C8BEC3"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EC0" w14:textId="77777777" w:rsidR="00905C77" w:rsidRPr="00834B45" w:rsidRDefault="00905C77" w:rsidP="00B81366">
            <w:pPr>
              <w:pStyle w:val="BodyText"/>
              <w:spacing w:before="0"/>
              <w:rPr>
                <w:b w:val="0"/>
                <w:sz w:val="18"/>
                <w:szCs w:val="18"/>
              </w:rPr>
            </w:pPr>
            <w:r w:rsidRPr="00834B45">
              <w:rPr>
                <w:b w:val="0"/>
                <w:sz w:val="18"/>
                <w:szCs w:val="18"/>
              </w:rPr>
              <w:t>DEM/surface elevation</w:t>
            </w:r>
          </w:p>
        </w:tc>
        <w:tc>
          <w:tcPr>
            <w:tcW w:w="0" w:type="auto"/>
          </w:tcPr>
          <w:p w14:paraId="31C8BEC1"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Aeri</w:t>
            </w:r>
            <w:r>
              <w:rPr>
                <w:sz w:val="18"/>
                <w:szCs w:val="18"/>
              </w:rPr>
              <w:t>al photograph, satellite imagery</w:t>
            </w:r>
          </w:p>
        </w:tc>
        <w:tc>
          <w:tcPr>
            <w:tcW w:w="0" w:type="auto"/>
          </w:tcPr>
          <w:p w14:paraId="31C8BEC2" w14:textId="77777777" w:rsidR="00905C77" w:rsidRPr="00834B45" w:rsidRDefault="00905C77" w:rsidP="0077405B">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9</w:t>
            </w:r>
            <w:r w:rsidR="0077405B">
              <w:rPr>
                <w:sz w:val="18"/>
                <w:szCs w:val="18"/>
              </w:rPr>
              <w:t>-</w:t>
            </w:r>
            <w:r w:rsidRPr="00834B45">
              <w:rPr>
                <w:sz w:val="18"/>
                <w:szCs w:val="18"/>
              </w:rPr>
              <w:t>second DEM (GA)</w:t>
            </w:r>
          </w:p>
        </w:tc>
      </w:tr>
      <w:tr w:rsidR="00905C77" w:rsidRPr="00834B45" w14:paraId="31C8BEC8"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EC4" w14:textId="77777777" w:rsidR="00905C77" w:rsidRPr="00834B45" w:rsidRDefault="00905C77" w:rsidP="00B81366">
            <w:pPr>
              <w:pStyle w:val="BodyText"/>
              <w:spacing w:before="0"/>
              <w:rPr>
                <w:b w:val="0"/>
                <w:sz w:val="18"/>
                <w:szCs w:val="18"/>
              </w:rPr>
            </w:pPr>
            <w:r w:rsidRPr="00834B45">
              <w:rPr>
                <w:b w:val="0"/>
                <w:sz w:val="18"/>
                <w:szCs w:val="18"/>
              </w:rPr>
              <w:t>Groundwater depth</w:t>
            </w:r>
          </w:p>
        </w:tc>
        <w:tc>
          <w:tcPr>
            <w:tcW w:w="0" w:type="auto"/>
          </w:tcPr>
          <w:p w14:paraId="31C8BEC5"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Maps, reports, observation bore records</w:t>
            </w:r>
          </w:p>
        </w:tc>
        <w:tc>
          <w:tcPr>
            <w:tcW w:w="0" w:type="auto"/>
          </w:tcPr>
          <w:p w14:paraId="31C8BEC6" w14:textId="77777777" w:rsidR="00905C77" w:rsidRPr="00834B45" w:rsidRDefault="00905C77" w:rsidP="00B81366">
            <w:pPr>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 xml:space="preserve">National groundwater information system (BOM) </w:t>
            </w:r>
            <w:hyperlink r:id="rId118" w:anchor="/bore/locationwater" w:history="1">
              <w:r w:rsidR="0021023E">
                <w:rPr>
                  <w:rStyle w:val="Hyperlink"/>
                  <w:sz w:val="18"/>
                  <w:szCs w:val="18"/>
                </w:rPr>
                <w:t>Groundwater Insight</w:t>
              </w:r>
            </w:hyperlink>
            <w:r w:rsidRPr="00834B45">
              <w:rPr>
                <w:sz w:val="18"/>
                <w:szCs w:val="18"/>
              </w:rPr>
              <w:t>;</w:t>
            </w:r>
          </w:p>
          <w:p w14:paraId="31C8BEC7" w14:textId="77777777" w:rsidR="00905C77" w:rsidRPr="00834B45" w:rsidRDefault="00085933" w:rsidP="00B81366">
            <w:pPr>
              <w:cnfStyle w:val="000000100000" w:firstRow="0" w:lastRow="0" w:firstColumn="0" w:lastColumn="0" w:oddVBand="0" w:evenVBand="0" w:oddHBand="1" w:evenHBand="0" w:firstRowFirstColumn="0" w:firstRowLastColumn="0" w:lastRowFirstColumn="0" w:lastRowLastColumn="0"/>
              <w:rPr>
                <w:sz w:val="18"/>
                <w:szCs w:val="18"/>
              </w:rPr>
            </w:pPr>
            <w:hyperlink r:id="rId119" w:history="1">
              <w:r w:rsidR="0021023E">
                <w:rPr>
                  <w:rStyle w:val="Hyperlink"/>
                  <w:sz w:val="18"/>
                  <w:szCs w:val="18"/>
                </w:rPr>
                <w:t>BOM Groundwater Explorer</w:t>
              </w:r>
            </w:hyperlink>
          </w:p>
        </w:tc>
      </w:tr>
      <w:tr w:rsidR="00905C77" w:rsidRPr="00834B45" w14:paraId="31C8BECD"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EC9" w14:textId="77777777" w:rsidR="00905C77" w:rsidRPr="00834B45" w:rsidRDefault="00905C77" w:rsidP="00B81366">
            <w:pPr>
              <w:pStyle w:val="BodyText"/>
              <w:spacing w:before="0"/>
              <w:rPr>
                <w:b w:val="0"/>
                <w:sz w:val="18"/>
                <w:szCs w:val="18"/>
              </w:rPr>
            </w:pPr>
            <w:r w:rsidRPr="00834B45">
              <w:rPr>
                <w:b w:val="0"/>
                <w:sz w:val="18"/>
                <w:szCs w:val="18"/>
              </w:rPr>
              <w:t>Groundwater flow syst</w:t>
            </w:r>
            <w:r>
              <w:rPr>
                <w:b w:val="0"/>
                <w:sz w:val="18"/>
                <w:szCs w:val="18"/>
              </w:rPr>
              <w:t>ems and elevations; hydrogeology</w:t>
            </w:r>
          </w:p>
        </w:tc>
        <w:tc>
          <w:tcPr>
            <w:tcW w:w="0" w:type="auto"/>
          </w:tcPr>
          <w:p w14:paraId="31C8BECA"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Maps, reports, observation bore records, DEM</w:t>
            </w:r>
          </w:p>
        </w:tc>
        <w:tc>
          <w:tcPr>
            <w:tcW w:w="0" w:type="auto"/>
          </w:tcPr>
          <w:p w14:paraId="31C8BECB" w14:textId="77777777" w:rsidR="00905C77" w:rsidRDefault="00085933"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hyperlink r:id="rId120" w:history="1">
              <w:r w:rsidR="00AA5241">
                <w:rPr>
                  <w:rStyle w:val="Hyperlink"/>
                  <w:sz w:val="18"/>
                  <w:szCs w:val="18"/>
                </w:rPr>
                <w:t>Groundwater flow systems</w:t>
              </w:r>
            </w:hyperlink>
          </w:p>
          <w:p w14:paraId="31C8BECC" w14:textId="77777777" w:rsidR="00AA5241" w:rsidRPr="00834B45" w:rsidRDefault="00AA5241"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905C77" w:rsidRPr="00834B45" w14:paraId="31C8BED1"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ECE" w14:textId="77777777" w:rsidR="00905C77" w:rsidRPr="00834B45" w:rsidRDefault="00905C77" w:rsidP="00B81366">
            <w:pPr>
              <w:pStyle w:val="BodyText"/>
              <w:spacing w:before="0"/>
              <w:rPr>
                <w:b w:val="0"/>
                <w:sz w:val="18"/>
                <w:szCs w:val="18"/>
              </w:rPr>
            </w:pPr>
            <w:r w:rsidRPr="00834B45">
              <w:rPr>
                <w:b w:val="0"/>
                <w:sz w:val="18"/>
                <w:szCs w:val="18"/>
              </w:rPr>
              <w:t>Surface water level</w:t>
            </w:r>
          </w:p>
        </w:tc>
        <w:tc>
          <w:tcPr>
            <w:tcW w:w="0" w:type="auto"/>
          </w:tcPr>
          <w:p w14:paraId="31C8BECF"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Maps, reports, observation bore records, river gauge data</w:t>
            </w:r>
          </w:p>
        </w:tc>
        <w:tc>
          <w:tcPr>
            <w:tcW w:w="0" w:type="auto"/>
          </w:tcPr>
          <w:p w14:paraId="31C8BED0" w14:textId="77777777" w:rsidR="00905C77" w:rsidRPr="00834B45" w:rsidRDefault="00085933"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hyperlink r:id="rId121" w:history="1">
              <w:r w:rsidR="00AA5241">
                <w:rPr>
                  <w:rStyle w:val="Hyperlink"/>
                  <w:sz w:val="18"/>
                  <w:szCs w:val="18"/>
                </w:rPr>
                <w:t>Surface water level</w:t>
              </w:r>
            </w:hyperlink>
            <w:r w:rsidR="00AA5241">
              <w:rPr>
                <w:sz w:val="18"/>
                <w:szCs w:val="18"/>
              </w:rPr>
              <w:t xml:space="preserve"> (BOM)</w:t>
            </w:r>
          </w:p>
        </w:tc>
      </w:tr>
      <w:tr w:rsidR="00905C77" w:rsidRPr="00834B45" w14:paraId="31C8BED8"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ED2" w14:textId="77777777" w:rsidR="00905C77" w:rsidRPr="00834B45" w:rsidRDefault="00905C77" w:rsidP="00B81366">
            <w:pPr>
              <w:pStyle w:val="BodyText"/>
              <w:spacing w:before="0"/>
              <w:rPr>
                <w:b w:val="0"/>
                <w:sz w:val="18"/>
                <w:szCs w:val="18"/>
              </w:rPr>
            </w:pPr>
            <w:r w:rsidRPr="00834B45">
              <w:rPr>
                <w:b w:val="0"/>
                <w:sz w:val="18"/>
                <w:szCs w:val="18"/>
              </w:rPr>
              <w:t>Surface water (rivers, wetlands, springs) mapping</w:t>
            </w:r>
          </w:p>
        </w:tc>
        <w:tc>
          <w:tcPr>
            <w:tcW w:w="0" w:type="auto"/>
          </w:tcPr>
          <w:p w14:paraId="31C8BED3"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Aerial photograph</w:t>
            </w:r>
            <w:r w:rsidR="0077405B">
              <w:rPr>
                <w:sz w:val="18"/>
                <w:szCs w:val="18"/>
              </w:rPr>
              <w:t>s</w:t>
            </w:r>
            <w:r w:rsidRPr="00834B45">
              <w:rPr>
                <w:sz w:val="18"/>
                <w:szCs w:val="18"/>
              </w:rPr>
              <w:t>, satellite imagery</w:t>
            </w:r>
            <w:r w:rsidR="005943E0">
              <w:rPr>
                <w:sz w:val="18"/>
                <w:szCs w:val="18"/>
              </w:rPr>
              <w:t>, Google Earth</w:t>
            </w:r>
          </w:p>
        </w:tc>
        <w:tc>
          <w:tcPr>
            <w:tcW w:w="0" w:type="auto"/>
          </w:tcPr>
          <w:p w14:paraId="31C8BED4" w14:textId="77777777" w:rsidR="00905C77" w:rsidRPr="009F431F" w:rsidRDefault="00905C77" w:rsidP="00B81366">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F431F">
              <w:rPr>
                <w:sz w:val="18"/>
                <w:szCs w:val="18"/>
              </w:rPr>
              <w:t>Geofabric</w:t>
            </w:r>
            <w:proofErr w:type="spellEnd"/>
            <w:r w:rsidRPr="009F431F">
              <w:rPr>
                <w:sz w:val="18"/>
                <w:szCs w:val="18"/>
              </w:rPr>
              <w:t xml:space="preserve"> (BOM)</w:t>
            </w:r>
            <w:r>
              <w:rPr>
                <w:sz w:val="18"/>
                <w:szCs w:val="18"/>
              </w:rPr>
              <w:t xml:space="preserve">; </w:t>
            </w:r>
            <w:r w:rsidRPr="009F431F">
              <w:rPr>
                <w:sz w:val="18"/>
                <w:szCs w:val="18"/>
              </w:rPr>
              <w:t>Flow direction grid (GA)</w:t>
            </w:r>
            <w:r>
              <w:rPr>
                <w:sz w:val="18"/>
                <w:szCs w:val="18"/>
              </w:rPr>
              <w:t xml:space="preserve">; </w:t>
            </w:r>
            <w:r w:rsidRPr="009F431F">
              <w:rPr>
                <w:sz w:val="18"/>
                <w:szCs w:val="18"/>
              </w:rPr>
              <w:t>Water Observations from Space (GA)</w:t>
            </w:r>
            <w:r>
              <w:rPr>
                <w:sz w:val="18"/>
                <w:szCs w:val="18"/>
              </w:rPr>
              <w:t>;</w:t>
            </w:r>
            <w:r w:rsidRPr="009F431F">
              <w:rPr>
                <w:sz w:val="18"/>
                <w:szCs w:val="18"/>
              </w:rPr>
              <w:t xml:space="preserve"> Surface water (GA)</w:t>
            </w:r>
          </w:p>
          <w:p w14:paraId="31C8BED5" w14:textId="77777777" w:rsidR="00905C77" w:rsidRPr="00834B45" w:rsidRDefault="00085933" w:rsidP="00B81366">
            <w:pPr>
              <w:cnfStyle w:val="000000000000" w:firstRow="0" w:lastRow="0" w:firstColumn="0" w:lastColumn="0" w:oddVBand="0" w:evenVBand="0" w:oddHBand="0" w:evenHBand="0" w:firstRowFirstColumn="0" w:firstRowLastColumn="0" w:lastRowFirstColumn="0" w:lastRowLastColumn="0"/>
              <w:rPr>
                <w:rStyle w:val="Hyperlink"/>
                <w:sz w:val="18"/>
                <w:szCs w:val="18"/>
              </w:rPr>
            </w:pPr>
            <w:hyperlink r:id="rId122" w:history="1">
              <w:proofErr w:type="spellStart"/>
              <w:r w:rsidR="0021023E">
                <w:rPr>
                  <w:rStyle w:val="Hyperlink"/>
                  <w:sz w:val="18"/>
                  <w:szCs w:val="18"/>
                </w:rPr>
                <w:t>Geofabric</w:t>
              </w:r>
              <w:proofErr w:type="spellEnd"/>
            </w:hyperlink>
          </w:p>
          <w:p w14:paraId="31C8BED6" w14:textId="77777777" w:rsidR="00905C77" w:rsidRPr="00834B45" w:rsidRDefault="00085933" w:rsidP="00B81366">
            <w:pPr>
              <w:cnfStyle w:val="000000000000" w:firstRow="0" w:lastRow="0" w:firstColumn="0" w:lastColumn="0" w:oddVBand="0" w:evenVBand="0" w:oddHBand="0" w:evenHBand="0" w:firstRowFirstColumn="0" w:firstRowLastColumn="0" w:lastRowFirstColumn="0" w:lastRowLastColumn="0"/>
              <w:rPr>
                <w:sz w:val="18"/>
                <w:szCs w:val="18"/>
              </w:rPr>
            </w:pPr>
            <w:hyperlink r:id="rId123" w:anchor="/theme/water/map/wofs" w:history="1">
              <w:r w:rsidR="0021023E">
                <w:rPr>
                  <w:rStyle w:val="Hyperlink"/>
                  <w:sz w:val="18"/>
                  <w:szCs w:val="18"/>
                </w:rPr>
                <w:t>Water Observations from Space</w:t>
              </w:r>
            </w:hyperlink>
          </w:p>
          <w:p w14:paraId="31C8BED7" w14:textId="77777777" w:rsidR="00905C77" w:rsidRPr="00834B45" w:rsidRDefault="00085933" w:rsidP="00B81366">
            <w:pPr>
              <w:cnfStyle w:val="000000000000" w:firstRow="0" w:lastRow="0" w:firstColumn="0" w:lastColumn="0" w:oddVBand="0" w:evenVBand="0" w:oddHBand="0" w:evenHBand="0" w:firstRowFirstColumn="0" w:firstRowLastColumn="0" w:lastRowFirstColumn="0" w:lastRowLastColumn="0"/>
              <w:rPr>
                <w:sz w:val="18"/>
                <w:szCs w:val="18"/>
              </w:rPr>
            </w:pPr>
            <w:hyperlink r:id="rId124" w:anchor="/theme/water/map/surfacehydrology" w:history="1">
              <w:r w:rsidR="0021023E">
                <w:rPr>
                  <w:rStyle w:val="Hyperlink"/>
                  <w:sz w:val="18"/>
                  <w:szCs w:val="18"/>
                </w:rPr>
                <w:t>Surface Hydrology</w:t>
              </w:r>
            </w:hyperlink>
          </w:p>
        </w:tc>
      </w:tr>
      <w:tr w:rsidR="00905C77" w:rsidRPr="00834B45" w14:paraId="31C8BEDC"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ED9" w14:textId="77777777" w:rsidR="00905C77" w:rsidRPr="00834B45" w:rsidRDefault="00905C77" w:rsidP="00B81366">
            <w:pPr>
              <w:pStyle w:val="BodyText"/>
              <w:spacing w:before="0"/>
              <w:rPr>
                <w:b w:val="0"/>
                <w:sz w:val="18"/>
                <w:szCs w:val="18"/>
              </w:rPr>
            </w:pPr>
            <w:r w:rsidRPr="00834B45">
              <w:rPr>
                <w:b w:val="0"/>
                <w:sz w:val="18"/>
                <w:szCs w:val="18"/>
              </w:rPr>
              <w:t>Groundwater quality (inc</w:t>
            </w:r>
            <w:r w:rsidR="0077405B">
              <w:rPr>
                <w:b w:val="0"/>
                <w:sz w:val="18"/>
                <w:szCs w:val="18"/>
              </w:rPr>
              <w:t>luding</w:t>
            </w:r>
            <w:r w:rsidRPr="00834B45">
              <w:rPr>
                <w:b w:val="0"/>
                <w:sz w:val="18"/>
                <w:szCs w:val="18"/>
              </w:rPr>
              <w:t xml:space="preserve"> temperature and salt)</w:t>
            </w:r>
          </w:p>
        </w:tc>
        <w:tc>
          <w:tcPr>
            <w:tcW w:w="0" w:type="auto"/>
          </w:tcPr>
          <w:p w14:paraId="31C8BEDA"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31C8BEDB"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905C77" w:rsidRPr="00834B45" w14:paraId="31C8BEE2"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EDD" w14:textId="77777777" w:rsidR="00905C77" w:rsidRPr="00834B45" w:rsidRDefault="00905C77" w:rsidP="00B81366">
            <w:pPr>
              <w:rPr>
                <w:b w:val="0"/>
                <w:sz w:val="18"/>
                <w:szCs w:val="18"/>
              </w:rPr>
            </w:pPr>
            <w:r w:rsidRPr="00834B45">
              <w:rPr>
                <w:b w:val="0"/>
                <w:sz w:val="18"/>
                <w:szCs w:val="18"/>
              </w:rPr>
              <w:t>River connectivity/classification map</w:t>
            </w:r>
          </w:p>
          <w:p w14:paraId="31C8BEDE" w14:textId="77777777" w:rsidR="00905C77" w:rsidRPr="00834B45" w:rsidRDefault="00905C77" w:rsidP="00B81366">
            <w:pPr>
              <w:pStyle w:val="BodyText"/>
              <w:spacing w:before="0"/>
              <w:rPr>
                <w:b w:val="0"/>
                <w:sz w:val="18"/>
                <w:szCs w:val="18"/>
              </w:rPr>
            </w:pPr>
            <w:r w:rsidRPr="00834B45">
              <w:rPr>
                <w:b w:val="0"/>
                <w:sz w:val="18"/>
                <w:szCs w:val="18"/>
              </w:rPr>
              <w:t>GW-SW connectivity</w:t>
            </w:r>
          </w:p>
        </w:tc>
        <w:tc>
          <w:tcPr>
            <w:tcW w:w="0" w:type="auto"/>
          </w:tcPr>
          <w:p w14:paraId="31C8BEDF"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Geological and geomorphological mapping</w:t>
            </w:r>
          </w:p>
        </w:tc>
        <w:tc>
          <w:tcPr>
            <w:tcW w:w="0" w:type="auto"/>
          </w:tcPr>
          <w:p w14:paraId="31C8BEE0" w14:textId="77777777" w:rsidR="00905C77" w:rsidRDefault="00085933"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hyperlink r:id="rId125" w:history="1">
              <w:r w:rsidR="0026722E">
                <w:rPr>
                  <w:rStyle w:val="Hyperlink"/>
                  <w:sz w:val="18"/>
                  <w:szCs w:val="18"/>
                </w:rPr>
                <w:t>River classification report</w:t>
              </w:r>
            </w:hyperlink>
            <w:r w:rsidR="0026722E">
              <w:rPr>
                <w:sz w:val="18"/>
                <w:szCs w:val="18"/>
              </w:rPr>
              <w:t xml:space="preserve"> </w:t>
            </w:r>
          </w:p>
          <w:p w14:paraId="31C8BEE1" w14:textId="77777777" w:rsidR="0026722E" w:rsidRPr="00834B45" w:rsidRDefault="0026722E"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905C77" w:rsidRPr="00834B45" w14:paraId="31C8BEE6"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EE3" w14:textId="77777777" w:rsidR="00905C77" w:rsidRPr="00834B45" w:rsidRDefault="00905C77" w:rsidP="0077405B">
            <w:pPr>
              <w:pStyle w:val="BodyText"/>
              <w:spacing w:before="0"/>
              <w:rPr>
                <w:b w:val="0"/>
                <w:sz w:val="18"/>
                <w:szCs w:val="18"/>
              </w:rPr>
            </w:pPr>
            <w:r w:rsidRPr="00834B45">
              <w:rPr>
                <w:b w:val="0"/>
                <w:sz w:val="18"/>
                <w:szCs w:val="18"/>
              </w:rPr>
              <w:t>Underlying geology and geological structure (e</w:t>
            </w:r>
            <w:r w:rsidR="0077405B">
              <w:rPr>
                <w:b w:val="0"/>
                <w:sz w:val="18"/>
                <w:szCs w:val="18"/>
              </w:rPr>
              <w:t>.g.</w:t>
            </w:r>
            <w:r w:rsidRPr="00834B45">
              <w:rPr>
                <w:b w:val="0"/>
                <w:sz w:val="18"/>
                <w:szCs w:val="18"/>
              </w:rPr>
              <w:t xml:space="preserve"> fractured rock </w:t>
            </w:r>
            <w:r w:rsidR="0077405B">
              <w:rPr>
                <w:b w:val="0"/>
                <w:sz w:val="18"/>
                <w:szCs w:val="18"/>
              </w:rPr>
              <w:t>a</w:t>
            </w:r>
            <w:r w:rsidRPr="00834B45">
              <w:rPr>
                <w:b w:val="0"/>
                <w:sz w:val="18"/>
                <w:szCs w:val="18"/>
              </w:rPr>
              <w:t>quifer); geophysics</w:t>
            </w:r>
          </w:p>
        </w:tc>
        <w:tc>
          <w:tcPr>
            <w:tcW w:w="0" w:type="auto"/>
          </w:tcPr>
          <w:p w14:paraId="31C8BEE4"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Maps, reports, ground survey, geophysical survey</w:t>
            </w:r>
          </w:p>
        </w:tc>
        <w:tc>
          <w:tcPr>
            <w:tcW w:w="0" w:type="auto"/>
          </w:tcPr>
          <w:p w14:paraId="31C8BEE5" w14:textId="77777777" w:rsidR="00905C77" w:rsidRPr="00834B45" w:rsidRDefault="00085933" w:rsidP="00B81366">
            <w:pPr>
              <w:cnfStyle w:val="000000100000" w:firstRow="0" w:lastRow="0" w:firstColumn="0" w:lastColumn="0" w:oddVBand="0" w:evenVBand="0" w:oddHBand="1" w:evenHBand="0" w:firstRowFirstColumn="0" w:firstRowLastColumn="0" w:lastRowFirstColumn="0" w:lastRowLastColumn="0"/>
              <w:rPr>
                <w:sz w:val="18"/>
                <w:szCs w:val="18"/>
              </w:rPr>
            </w:pPr>
            <w:hyperlink r:id="rId126" w:anchor="/theme/minerals/map/geophysics" w:history="1">
              <w:r w:rsidR="0021023E">
                <w:rPr>
                  <w:rStyle w:val="Hyperlink"/>
                  <w:sz w:val="18"/>
                  <w:szCs w:val="18"/>
                </w:rPr>
                <w:t>Geophysics</w:t>
              </w:r>
            </w:hyperlink>
            <w:r w:rsidR="00073D8A">
              <w:rPr>
                <w:rStyle w:val="Hyperlink"/>
                <w:sz w:val="18"/>
                <w:szCs w:val="18"/>
              </w:rPr>
              <w:t xml:space="preserve"> </w:t>
            </w:r>
            <w:r w:rsidR="00073D8A" w:rsidRPr="00834B45">
              <w:rPr>
                <w:sz w:val="18"/>
                <w:szCs w:val="18"/>
              </w:rPr>
              <w:t>(GA)</w:t>
            </w:r>
          </w:p>
        </w:tc>
      </w:tr>
      <w:tr w:rsidR="00905C77" w:rsidRPr="00834B45" w14:paraId="31C8BEEB"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EE7" w14:textId="77777777" w:rsidR="00905C77" w:rsidRPr="00834B45" w:rsidRDefault="00905C77" w:rsidP="00B81366">
            <w:pPr>
              <w:pStyle w:val="BodyText"/>
              <w:spacing w:before="0"/>
              <w:rPr>
                <w:b w:val="0"/>
                <w:sz w:val="18"/>
                <w:szCs w:val="18"/>
              </w:rPr>
            </w:pPr>
            <w:r w:rsidRPr="00834B45">
              <w:rPr>
                <w:b w:val="0"/>
                <w:sz w:val="18"/>
                <w:szCs w:val="18"/>
              </w:rPr>
              <w:t>River flow data</w:t>
            </w:r>
          </w:p>
        </w:tc>
        <w:tc>
          <w:tcPr>
            <w:tcW w:w="0" w:type="auto"/>
          </w:tcPr>
          <w:p w14:paraId="31C8BEE8" w14:textId="77777777" w:rsidR="00905C77" w:rsidRPr="00834B45" w:rsidRDefault="000B2251"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River gauge data </w:t>
            </w:r>
          </w:p>
        </w:tc>
        <w:tc>
          <w:tcPr>
            <w:tcW w:w="0" w:type="auto"/>
          </w:tcPr>
          <w:p w14:paraId="31C8BEE9" w14:textId="77777777" w:rsidR="00905C77" w:rsidRDefault="00085933"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hyperlink r:id="rId127" w:history="1">
              <w:r w:rsidR="000B2251">
                <w:rPr>
                  <w:rStyle w:val="Hyperlink"/>
                  <w:sz w:val="18"/>
                  <w:szCs w:val="18"/>
                </w:rPr>
                <w:t xml:space="preserve">Water </w:t>
              </w:r>
              <w:r w:rsidR="00AA5241">
                <w:rPr>
                  <w:rStyle w:val="Hyperlink"/>
                  <w:sz w:val="18"/>
                  <w:szCs w:val="18"/>
                </w:rPr>
                <w:t>s</w:t>
              </w:r>
              <w:r w:rsidR="000B2251">
                <w:rPr>
                  <w:rStyle w:val="Hyperlink"/>
                  <w:sz w:val="18"/>
                  <w:szCs w:val="18"/>
                </w:rPr>
                <w:t>torages</w:t>
              </w:r>
            </w:hyperlink>
            <w:r w:rsidR="000B2251">
              <w:rPr>
                <w:sz w:val="18"/>
                <w:szCs w:val="18"/>
              </w:rPr>
              <w:t xml:space="preserve"> (BOM)</w:t>
            </w:r>
          </w:p>
          <w:p w14:paraId="31C8BEEA" w14:textId="77777777" w:rsidR="000B2251" w:rsidRPr="00834B45" w:rsidRDefault="000B2251" w:rsidP="000B2251">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State sources of data</w:t>
            </w:r>
          </w:p>
        </w:tc>
      </w:tr>
      <w:tr w:rsidR="00905C77" w:rsidRPr="00834B45" w14:paraId="31C8BEEF"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EEC" w14:textId="77777777" w:rsidR="00905C77" w:rsidRPr="00834B45" w:rsidRDefault="00905C77" w:rsidP="00B81366">
            <w:pPr>
              <w:pStyle w:val="BodyText"/>
              <w:spacing w:before="0"/>
              <w:rPr>
                <w:b w:val="0"/>
                <w:sz w:val="18"/>
                <w:szCs w:val="18"/>
              </w:rPr>
            </w:pPr>
            <w:r w:rsidRPr="00834B45">
              <w:rPr>
                <w:b w:val="0"/>
                <w:sz w:val="18"/>
                <w:szCs w:val="18"/>
              </w:rPr>
              <w:t>River regime</w:t>
            </w:r>
          </w:p>
        </w:tc>
        <w:tc>
          <w:tcPr>
            <w:tcW w:w="0" w:type="auto"/>
          </w:tcPr>
          <w:p w14:paraId="31C8BEED" w14:textId="77777777" w:rsidR="00905C77" w:rsidRPr="00834B45" w:rsidRDefault="000B2251"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River gauge data</w:t>
            </w:r>
          </w:p>
        </w:tc>
        <w:tc>
          <w:tcPr>
            <w:tcW w:w="0" w:type="auto"/>
          </w:tcPr>
          <w:p w14:paraId="31C8BEEE" w14:textId="77777777" w:rsidR="00905C77" w:rsidRPr="00834B45" w:rsidRDefault="000B2251"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State sources of data</w:t>
            </w:r>
          </w:p>
        </w:tc>
      </w:tr>
      <w:tr w:rsidR="00905C77" w:rsidRPr="00834B45" w14:paraId="31C8BEF4"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EF0" w14:textId="77777777" w:rsidR="00905C77" w:rsidRPr="00834B45" w:rsidRDefault="00905C77" w:rsidP="00B81366">
            <w:pPr>
              <w:pStyle w:val="BodyText"/>
              <w:spacing w:before="0"/>
              <w:rPr>
                <w:b w:val="0"/>
                <w:sz w:val="18"/>
                <w:szCs w:val="18"/>
              </w:rPr>
            </w:pPr>
            <w:r w:rsidRPr="00834B45">
              <w:rPr>
                <w:b w:val="0"/>
                <w:sz w:val="18"/>
                <w:szCs w:val="18"/>
              </w:rPr>
              <w:t>Consumption infrastructure (bores)</w:t>
            </w:r>
          </w:p>
        </w:tc>
        <w:tc>
          <w:tcPr>
            <w:tcW w:w="0" w:type="auto"/>
          </w:tcPr>
          <w:p w14:paraId="31C8BEF1"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1C8BEF2" w14:textId="77777777" w:rsidR="00905C77" w:rsidRDefault="00085933"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hyperlink r:id="rId128" w:history="1">
              <w:r w:rsidR="000B2251">
                <w:rPr>
                  <w:rStyle w:val="Hyperlink"/>
                  <w:sz w:val="18"/>
                  <w:szCs w:val="18"/>
                </w:rPr>
                <w:t>Bore locations</w:t>
              </w:r>
            </w:hyperlink>
            <w:r w:rsidR="000B2251">
              <w:rPr>
                <w:sz w:val="18"/>
                <w:szCs w:val="18"/>
              </w:rPr>
              <w:t xml:space="preserve"> (BOM)</w:t>
            </w:r>
          </w:p>
          <w:p w14:paraId="31C8BEF3" w14:textId="77777777" w:rsidR="000B2251" w:rsidRPr="00834B45" w:rsidRDefault="000B2251"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905C77" w:rsidRPr="00834B45" w14:paraId="31C8BEF9"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EF5" w14:textId="77777777" w:rsidR="00905C77" w:rsidRPr="00834B45" w:rsidRDefault="00905C77" w:rsidP="00B81366">
            <w:pPr>
              <w:pStyle w:val="BodyText"/>
              <w:spacing w:before="0"/>
              <w:rPr>
                <w:b w:val="0"/>
                <w:sz w:val="18"/>
                <w:szCs w:val="18"/>
              </w:rPr>
            </w:pPr>
            <w:r w:rsidRPr="00834B45">
              <w:rPr>
                <w:b w:val="0"/>
                <w:sz w:val="18"/>
                <w:szCs w:val="18"/>
              </w:rPr>
              <w:t>Climate data</w:t>
            </w:r>
          </w:p>
        </w:tc>
        <w:tc>
          <w:tcPr>
            <w:tcW w:w="0" w:type="auto"/>
          </w:tcPr>
          <w:p w14:paraId="31C8BEF6"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31C8BEF7" w14:textId="77777777" w:rsidR="00905C77" w:rsidRDefault="0021023E" w:rsidP="0021023E">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Bureau of Meteorology </w:t>
            </w:r>
            <w:hyperlink r:id="rId129" w:history="1">
              <w:r>
                <w:rPr>
                  <w:rStyle w:val="Hyperlink"/>
                  <w:sz w:val="18"/>
                  <w:szCs w:val="18"/>
                </w:rPr>
                <w:t>BOM</w:t>
              </w:r>
            </w:hyperlink>
            <w:r>
              <w:rPr>
                <w:sz w:val="18"/>
                <w:szCs w:val="18"/>
              </w:rPr>
              <w:t xml:space="preserve"> </w:t>
            </w:r>
          </w:p>
          <w:p w14:paraId="31C8BEF8" w14:textId="77777777" w:rsidR="00073D8A" w:rsidRPr="00834B45" w:rsidRDefault="00073D8A" w:rsidP="0021023E">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905C77" w:rsidRPr="00834B45" w14:paraId="31C8BEFD"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EFA" w14:textId="77777777" w:rsidR="00905C77" w:rsidRPr="00834B45" w:rsidRDefault="00905C77" w:rsidP="00B81366">
            <w:pPr>
              <w:pStyle w:val="BodyText"/>
              <w:spacing w:before="0"/>
              <w:rPr>
                <w:b w:val="0"/>
                <w:sz w:val="18"/>
                <w:szCs w:val="18"/>
              </w:rPr>
            </w:pPr>
            <w:r w:rsidRPr="00834B45">
              <w:rPr>
                <w:b w:val="0"/>
                <w:sz w:val="18"/>
                <w:szCs w:val="18"/>
              </w:rPr>
              <w:t>Soil mapping</w:t>
            </w:r>
          </w:p>
        </w:tc>
        <w:tc>
          <w:tcPr>
            <w:tcW w:w="0" w:type="auto"/>
          </w:tcPr>
          <w:p w14:paraId="31C8BEFB"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Maps, ground surveys, geological survey, site assessment</w:t>
            </w:r>
          </w:p>
        </w:tc>
        <w:tc>
          <w:tcPr>
            <w:tcW w:w="0" w:type="auto"/>
          </w:tcPr>
          <w:p w14:paraId="31C8BEFC"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National soil database</w:t>
            </w:r>
          </w:p>
        </w:tc>
      </w:tr>
      <w:tr w:rsidR="00905C77" w:rsidRPr="00834B45" w14:paraId="31C8BF01"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EFE" w14:textId="77777777" w:rsidR="00905C77" w:rsidRPr="00834B45" w:rsidRDefault="00905C77" w:rsidP="0077405B">
            <w:pPr>
              <w:pStyle w:val="BodyText"/>
              <w:spacing w:before="0"/>
              <w:rPr>
                <w:b w:val="0"/>
                <w:sz w:val="18"/>
                <w:szCs w:val="18"/>
              </w:rPr>
            </w:pPr>
            <w:r w:rsidRPr="00834B45">
              <w:rPr>
                <w:b w:val="0"/>
                <w:sz w:val="18"/>
                <w:szCs w:val="18"/>
              </w:rPr>
              <w:t>Hydrogeology (</w:t>
            </w:r>
            <w:proofErr w:type="spellStart"/>
            <w:r w:rsidR="00AB6B3E">
              <w:rPr>
                <w:b w:val="0"/>
                <w:sz w:val="18"/>
                <w:szCs w:val="18"/>
              </w:rPr>
              <w:t>watertable</w:t>
            </w:r>
            <w:proofErr w:type="spellEnd"/>
            <w:r w:rsidRPr="00834B45">
              <w:rPr>
                <w:b w:val="0"/>
                <w:sz w:val="18"/>
                <w:szCs w:val="18"/>
              </w:rPr>
              <w:t xml:space="preserve"> salinity; aquifer boundaries; princip</w:t>
            </w:r>
            <w:r w:rsidR="0077405B">
              <w:rPr>
                <w:b w:val="0"/>
                <w:sz w:val="18"/>
                <w:szCs w:val="18"/>
              </w:rPr>
              <w:t>a</w:t>
            </w:r>
            <w:r w:rsidRPr="00834B45">
              <w:rPr>
                <w:b w:val="0"/>
                <w:sz w:val="18"/>
                <w:szCs w:val="18"/>
              </w:rPr>
              <w:t>l hydrogeology)</w:t>
            </w:r>
          </w:p>
        </w:tc>
        <w:tc>
          <w:tcPr>
            <w:tcW w:w="0" w:type="auto"/>
          </w:tcPr>
          <w:p w14:paraId="31C8BEFF"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Maps, ground surveys, geological survey, site assessment</w:t>
            </w:r>
          </w:p>
        </w:tc>
        <w:tc>
          <w:tcPr>
            <w:tcW w:w="0" w:type="auto"/>
          </w:tcPr>
          <w:p w14:paraId="31C8BF00" w14:textId="77777777" w:rsidR="00905C77" w:rsidRPr="00834B45" w:rsidRDefault="00905C77" w:rsidP="00B81366">
            <w:pPr>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 xml:space="preserve">National groundwater information system (BOM) </w:t>
            </w:r>
            <w:hyperlink r:id="rId130" w:anchor="/bore/locationsalinity" w:history="1">
              <w:r w:rsidR="0021023E">
                <w:rPr>
                  <w:rStyle w:val="Hyperlink"/>
                  <w:sz w:val="18"/>
                  <w:szCs w:val="18"/>
                </w:rPr>
                <w:t>Hydrogeology</w:t>
              </w:r>
            </w:hyperlink>
          </w:p>
        </w:tc>
      </w:tr>
      <w:tr w:rsidR="00905C77" w:rsidRPr="00834B45" w14:paraId="31C8BF06"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F02" w14:textId="77777777" w:rsidR="00905C77" w:rsidRPr="00834B45" w:rsidRDefault="00905C77" w:rsidP="00B81366">
            <w:pPr>
              <w:pStyle w:val="BodyText"/>
              <w:spacing w:before="0"/>
              <w:rPr>
                <w:b w:val="0"/>
                <w:sz w:val="18"/>
                <w:szCs w:val="18"/>
              </w:rPr>
            </w:pPr>
            <w:r w:rsidRPr="00834B45">
              <w:rPr>
                <w:b w:val="0"/>
                <w:sz w:val="18"/>
                <w:szCs w:val="18"/>
              </w:rPr>
              <w:t>Recharge/</w:t>
            </w:r>
            <w:r w:rsidR="0077405B">
              <w:rPr>
                <w:b w:val="0"/>
                <w:sz w:val="18"/>
                <w:szCs w:val="18"/>
              </w:rPr>
              <w:t>d</w:t>
            </w:r>
            <w:r w:rsidRPr="00834B45">
              <w:rPr>
                <w:b w:val="0"/>
                <w:sz w:val="18"/>
                <w:szCs w:val="18"/>
              </w:rPr>
              <w:t>ischarge areas</w:t>
            </w:r>
          </w:p>
        </w:tc>
        <w:tc>
          <w:tcPr>
            <w:tcW w:w="0" w:type="auto"/>
          </w:tcPr>
          <w:p w14:paraId="31C8BF03"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Remote sensing, geological mapping information</w:t>
            </w:r>
          </w:p>
        </w:tc>
        <w:tc>
          <w:tcPr>
            <w:tcW w:w="0" w:type="auto"/>
          </w:tcPr>
          <w:p w14:paraId="31C8BF04" w14:textId="77777777" w:rsidR="00905C77" w:rsidRPr="00834B45" w:rsidRDefault="00905C77" w:rsidP="00B81366">
            <w:pPr>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 xml:space="preserve">CSIRO </w:t>
            </w:r>
            <w:hyperlink r:id="rId131" w:history="1">
              <w:r w:rsidR="0021023E">
                <w:rPr>
                  <w:rStyle w:val="Hyperlink"/>
                  <w:sz w:val="18"/>
                  <w:szCs w:val="18"/>
                </w:rPr>
                <w:t>Recharge Tool</w:t>
              </w:r>
            </w:hyperlink>
          </w:p>
          <w:p w14:paraId="31C8BF05"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Tool to calculate recharge/discharge</w:t>
            </w:r>
          </w:p>
        </w:tc>
      </w:tr>
      <w:tr w:rsidR="00905C77" w:rsidRPr="00834B45" w14:paraId="31C8BF0A"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F07" w14:textId="77777777" w:rsidR="00905C77" w:rsidRPr="00834B45" w:rsidRDefault="00905C77" w:rsidP="00B81366">
            <w:pPr>
              <w:pStyle w:val="BodyText"/>
              <w:spacing w:before="0"/>
              <w:rPr>
                <w:b w:val="0"/>
                <w:sz w:val="18"/>
                <w:szCs w:val="18"/>
              </w:rPr>
            </w:pPr>
            <w:proofErr w:type="spellStart"/>
            <w:r w:rsidRPr="00834B45">
              <w:rPr>
                <w:b w:val="0"/>
                <w:sz w:val="18"/>
                <w:szCs w:val="18"/>
              </w:rPr>
              <w:t>Landuse</w:t>
            </w:r>
            <w:proofErr w:type="spellEnd"/>
          </w:p>
        </w:tc>
        <w:tc>
          <w:tcPr>
            <w:tcW w:w="0" w:type="auto"/>
          </w:tcPr>
          <w:p w14:paraId="31C8BF08"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Aerial imagery, remote sensing</w:t>
            </w:r>
          </w:p>
        </w:tc>
        <w:tc>
          <w:tcPr>
            <w:tcW w:w="0" w:type="auto"/>
          </w:tcPr>
          <w:p w14:paraId="31C8BF09" w14:textId="77777777" w:rsidR="00905C77" w:rsidRPr="00834B45" w:rsidRDefault="00085933" w:rsidP="00B81366">
            <w:pPr>
              <w:cnfStyle w:val="000000100000" w:firstRow="0" w:lastRow="0" w:firstColumn="0" w:lastColumn="0" w:oddVBand="0" w:evenVBand="0" w:oddHBand="1" w:evenHBand="0" w:firstRowFirstColumn="0" w:firstRowLastColumn="0" w:lastRowFirstColumn="0" w:lastRowLastColumn="0"/>
              <w:rPr>
                <w:sz w:val="18"/>
                <w:szCs w:val="18"/>
              </w:rPr>
            </w:pPr>
            <w:hyperlink r:id="rId132" w:history="1">
              <w:r w:rsidR="0021023E">
                <w:rPr>
                  <w:rStyle w:val="Hyperlink"/>
                  <w:sz w:val="18"/>
                  <w:szCs w:val="18"/>
                </w:rPr>
                <w:t>ACLUMP</w:t>
              </w:r>
            </w:hyperlink>
          </w:p>
        </w:tc>
      </w:tr>
      <w:tr w:rsidR="00905C77" w:rsidRPr="00834B45" w14:paraId="31C8BF0E"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F0B" w14:textId="77777777" w:rsidR="00905C77" w:rsidRPr="00834B45" w:rsidRDefault="00905C77" w:rsidP="00B81366">
            <w:pPr>
              <w:pStyle w:val="BodyText"/>
              <w:spacing w:before="0"/>
              <w:rPr>
                <w:sz w:val="18"/>
                <w:szCs w:val="18"/>
              </w:rPr>
            </w:pPr>
            <w:r w:rsidRPr="0028514F">
              <w:rPr>
                <w:i/>
                <w:iCs/>
                <w:color w:val="000000" w:themeColor="text1"/>
                <w:sz w:val="18"/>
                <w:szCs w:val="18"/>
              </w:rPr>
              <w:t>Ecosystem datasets</w:t>
            </w:r>
          </w:p>
        </w:tc>
        <w:tc>
          <w:tcPr>
            <w:tcW w:w="0" w:type="auto"/>
          </w:tcPr>
          <w:p w14:paraId="31C8BF0C"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1C8BF0D"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905C77" w:rsidRPr="00834B45" w14:paraId="31C8BF13"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F0F" w14:textId="77777777" w:rsidR="00905C77" w:rsidRPr="00834B45" w:rsidRDefault="00905C77" w:rsidP="00B81366">
            <w:pPr>
              <w:pStyle w:val="BodyText"/>
              <w:spacing w:before="0"/>
              <w:rPr>
                <w:b w:val="0"/>
                <w:sz w:val="18"/>
                <w:szCs w:val="18"/>
              </w:rPr>
            </w:pPr>
            <w:r w:rsidRPr="00834B45">
              <w:rPr>
                <w:b w:val="0"/>
                <w:sz w:val="18"/>
                <w:szCs w:val="18"/>
              </w:rPr>
              <w:lastRenderedPageBreak/>
              <w:t>Vegetation (classification and composition) mapping</w:t>
            </w:r>
          </w:p>
        </w:tc>
        <w:tc>
          <w:tcPr>
            <w:tcW w:w="0" w:type="auto"/>
          </w:tcPr>
          <w:p w14:paraId="31C8BF10"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Maps, ground surveys, aerial photographs, satellite imagery</w:t>
            </w:r>
          </w:p>
        </w:tc>
        <w:tc>
          <w:tcPr>
            <w:tcW w:w="0" w:type="auto"/>
          </w:tcPr>
          <w:p w14:paraId="31C8BF11" w14:textId="77777777" w:rsidR="00905C77" w:rsidRDefault="00085933"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hyperlink r:id="rId133" w:history="1">
              <w:r w:rsidR="00A32222">
                <w:rPr>
                  <w:rStyle w:val="Hyperlink"/>
                  <w:sz w:val="18"/>
                  <w:szCs w:val="18"/>
                </w:rPr>
                <w:t>NVIS</w:t>
              </w:r>
            </w:hyperlink>
          </w:p>
          <w:p w14:paraId="31C8BF12" w14:textId="77777777" w:rsidR="00A32222" w:rsidRPr="00834B45" w:rsidRDefault="00A32222"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905C77" w:rsidRPr="00834B45" w14:paraId="31C8BF17"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F14" w14:textId="77777777" w:rsidR="00905C77" w:rsidRPr="00834B45" w:rsidRDefault="00905C77" w:rsidP="00B81366">
            <w:pPr>
              <w:pStyle w:val="BodyText"/>
              <w:spacing w:before="0"/>
              <w:rPr>
                <w:b w:val="0"/>
                <w:sz w:val="18"/>
                <w:szCs w:val="18"/>
              </w:rPr>
            </w:pPr>
            <w:r w:rsidRPr="00834B45">
              <w:rPr>
                <w:b w:val="0"/>
                <w:sz w:val="18"/>
                <w:szCs w:val="18"/>
              </w:rPr>
              <w:t>Known GDEs (subsurface especially), potential GDEs</w:t>
            </w:r>
          </w:p>
        </w:tc>
        <w:tc>
          <w:tcPr>
            <w:tcW w:w="0" w:type="auto"/>
          </w:tcPr>
          <w:p w14:paraId="31C8BF15"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Reports, ground surveys, satellite imagery</w:t>
            </w:r>
          </w:p>
        </w:tc>
        <w:tc>
          <w:tcPr>
            <w:tcW w:w="0" w:type="auto"/>
          </w:tcPr>
          <w:p w14:paraId="31C8BF16" w14:textId="77777777" w:rsidR="00905C77" w:rsidRPr="00834B45" w:rsidRDefault="00085933" w:rsidP="00A32222">
            <w:pPr>
              <w:cnfStyle w:val="000000000000" w:firstRow="0" w:lastRow="0" w:firstColumn="0" w:lastColumn="0" w:oddVBand="0" w:evenVBand="0" w:oddHBand="0" w:evenHBand="0" w:firstRowFirstColumn="0" w:firstRowLastColumn="0" w:lastRowFirstColumn="0" w:lastRowLastColumn="0"/>
              <w:rPr>
                <w:sz w:val="18"/>
                <w:szCs w:val="18"/>
              </w:rPr>
            </w:pPr>
            <w:hyperlink r:id="rId134" w:history="1">
              <w:r w:rsidR="00A32222">
                <w:rPr>
                  <w:rStyle w:val="Hyperlink"/>
                  <w:sz w:val="18"/>
                  <w:szCs w:val="18"/>
                </w:rPr>
                <w:t>GDE Atlas</w:t>
              </w:r>
            </w:hyperlink>
          </w:p>
        </w:tc>
      </w:tr>
      <w:tr w:rsidR="00905C77" w:rsidRPr="00834B45" w14:paraId="31C8BF1B"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F18" w14:textId="77777777" w:rsidR="00905C77" w:rsidRPr="00834B45" w:rsidRDefault="00905C77" w:rsidP="00B81366">
            <w:pPr>
              <w:pStyle w:val="BodyText"/>
              <w:spacing w:before="0"/>
              <w:rPr>
                <w:b w:val="0"/>
                <w:sz w:val="18"/>
                <w:szCs w:val="18"/>
              </w:rPr>
            </w:pPr>
            <w:r w:rsidRPr="00834B45">
              <w:rPr>
                <w:b w:val="0"/>
                <w:sz w:val="18"/>
                <w:szCs w:val="18"/>
              </w:rPr>
              <w:t>IDE layer (data on IDE likelihood)</w:t>
            </w:r>
          </w:p>
        </w:tc>
        <w:tc>
          <w:tcPr>
            <w:tcW w:w="0" w:type="auto"/>
          </w:tcPr>
          <w:p w14:paraId="31C8BF19" w14:textId="77777777" w:rsidR="00905C77" w:rsidRPr="00834B45" w:rsidRDefault="0037638B"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GDE Atlas</w:t>
            </w:r>
          </w:p>
        </w:tc>
        <w:tc>
          <w:tcPr>
            <w:tcW w:w="0" w:type="auto"/>
          </w:tcPr>
          <w:p w14:paraId="31C8BF1A" w14:textId="77777777" w:rsidR="00905C77" w:rsidRPr="00834B45" w:rsidRDefault="00085933" w:rsidP="0037638B">
            <w:pPr>
              <w:cnfStyle w:val="000000100000" w:firstRow="0" w:lastRow="0" w:firstColumn="0" w:lastColumn="0" w:oddVBand="0" w:evenVBand="0" w:oddHBand="1" w:evenHBand="0" w:firstRowFirstColumn="0" w:firstRowLastColumn="0" w:lastRowFirstColumn="0" w:lastRowLastColumn="0"/>
              <w:rPr>
                <w:sz w:val="18"/>
                <w:szCs w:val="18"/>
              </w:rPr>
            </w:pPr>
            <w:hyperlink r:id="rId135" w:history="1">
              <w:r w:rsidR="0037638B">
                <w:rPr>
                  <w:rStyle w:val="Hyperlink"/>
                  <w:sz w:val="18"/>
                  <w:szCs w:val="18"/>
                </w:rPr>
                <w:t>GDE Atlas</w:t>
              </w:r>
            </w:hyperlink>
          </w:p>
        </w:tc>
      </w:tr>
      <w:tr w:rsidR="00905C77" w:rsidRPr="00834B45" w14:paraId="31C8BF20"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F1C" w14:textId="77777777" w:rsidR="00905C77" w:rsidRPr="00834B45" w:rsidRDefault="00905C77" w:rsidP="00B81366">
            <w:pPr>
              <w:pStyle w:val="BodyText"/>
              <w:spacing w:before="0"/>
              <w:rPr>
                <w:b w:val="0"/>
                <w:sz w:val="18"/>
                <w:szCs w:val="18"/>
              </w:rPr>
            </w:pPr>
            <w:r w:rsidRPr="00834B45">
              <w:rPr>
                <w:b w:val="0"/>
                <w:sz w:val="18"/>
                <w:szCs w:val="18"/>
              </w:rPr>
              <w:t>Wetland classification mapping</w:t>
            </w:r>
          </w:p>
        </w:tc>
        <w:tc>
          <w:tcPr>
            <w:tcW w:w="0" w:type="auto"/>
          </w:tcPr>
          <w:p w14:paraId="31C8BF1D" w14:textId="77777777" w:rsidR="00905C77" w:rsidRPr="00834B45" w:rsidRDefault="0037638B"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National Wetland Inventory</w:t>
            </w:r>
          </w:p>
        </w:tc>
        <w:tc>
          <w:tcPr>
            <w:tcW w:w="0" w:type="auto"/>
          </w:tcPr>
          <w:p w14:paraId="31C8BF1E" w14:textId="77777777" w:rsidR="00905C77" w:rsidRDefault="00085933"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hyperlink r:id="rId136" w:history="1">
              <w:r w:rsidR="0037638B">
                <w:rPr>
                  <w:rStyle w:val="Hyperlink"/>
                  <w:sz w:val="18"/>
                  <w:szCs w:val="18"/>
                </w:rPr>
                <w:t>NWI</w:t>
              </w:r>
            </w:hyperlink>
          </w:p>
          <w:p w14:paraId="31C8BF1F" w14:textId="77777777" w:rsidR="0037638B" w:rsidRPr="00834B45" w:rsidRDefault="0037638B"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905C77" w:rsidRPr="00834B45" w14:paraId="31C8BF25"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F21" w14:textId="77777777" w:rsidR="00905C77" w:rsidRPr="00834B45" w:rsidRDefault="00905C77" w:rsidP="00B81366">
            <w:pPr>
              <w:pStyle w:val="BodyText"/>
              <w:spacing w:before="0"/>
              <w:rPr>
                <w:b w:val="0"/>
                <w:sz w:val="18"/>
                <w:szCs w:val="18"/>
              </w:rPr>
            </w:pPr>
            <w:r w:rsidRPr="00834B45">
              <w:rPr>
                <w:b w:val="0"/>
                <w:sz w:val="18"/>
                <w:szCs w:val="18"/>
              </w:rPr>
              <w:t xml:space="preserve">EPBC listing (flora and fauna, Threatened </w:t>
            </w:r>
            <w:r w:rsidR="00E04F7D">
              <w:rPr>
                <w:b w:val="0"/>
                <w:sz w:val="18"/>
                <w:szCs w:val="18"/>
              </w:rPr>
              <w:t>E</w:t>
            </w:r>
            <w:r w:rsidRPr="00834B45">
              <w:rPr>
                <w:b w:val="0"/>
                <w:sz w:val="18"/>
                <w:szCs w:val="18"/>
              </w:rPr>
              <w:t xml:space="preserve">cological </w:t>
            </w:r>
            <w:r w:rsidR="00E04F7D">
              <w:rPr>
                <w:b w:val="0"/>
                <w:sz w:val="18"/>
                <w:szCs w:val="18"/>
              </w:rPr>
              <w:t>C</w:t>
            </w:r>
            <w:r w:rsidRPr="00834B45">
              <w:rPr>
                <w:b w:val="0"/>
                <w:sz w:val="18"/>
                <w:szCs w:val="18"/>
              </w:rPr>
              <w:t>ommunities)</w:t>
            </w:r>
          </w:p>
        </w:tc>
        <w:tc>
          <w:tcPr>
            <w:tcW w:w="0" w:type="auto"/>
          </w:tcPr>
          <w:p w14:paraId="31C8BF22" w14:textId="77777777" w:rsidR="00905C77" w:rsidRPr="00834B45" w:rsidRDefault="0037638B"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Department of Environment and Energy</w:t>
            </w:r>
          </w:p>
        </w:tc>
        <w:tc>
          <w:tcPr>
            <w:tcW w:w="0" w:type="auto"/>
          </w:tcPr>
          <w:p w14:paraId="31C8BF23" w14:textId="77777777" w:rsidR="00905C77" w:rsidRDefault="00085933"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hyperlink r:id="rId137" w:history="1">
              <w:r w:rsidR="0037638B">
                <w:rPr>
                  <w:rStyle w:val="Hyperlink"/>
                  <w:sz w:val="18"/>
                  <w:szCs w:val="18"/>
                </w:rPr>
                <w:t xml:space="preserve">EPBC </w:t>
              </w:r>
            </w:hyperlink>
          </w:p>
          <w:p w14:paraId="31C8BF24" w14:textId="77777777" w:rsidR="0037638B" w:rsidRPr="00834B45" w:rsidRDefault="0037638B"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905C77" w:rsidRPr="00834B45" w14:paraId="31C8BF2A"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F26" w14:textId="77777777" w:rsidR="00905C77" w:rsidRPr="00834B45" w:rsidRDefault="00905C77" w:rsidP="00B81366">
            <w:pPr>
              <w:pStyle w:val="BodyText"/>
              <w:spacing w:before="0"/>
              <w:rPr>
                <w:b w:val="0"/>
                <w:sz w:val="18"/>
                <w:szCs w:val="18"/>
              </w:rPr>
            </w:pPr>
            <w:r w:rsidRPr="00834B45">
              <w:rPr>
                <w:b w:val="0"/>
                <w:sz w:val="18"/>
                <w:szCs w:val="18"/>
              </w:rPr>
              <w:t>State protected/vulnerable flora and fauna</w:t>
            </w:r>
          </w:p>
        </w:tc>
        <w:tc>
          <w:tcPr>
            <w:tcW w:w="0" w:type="auto"/>
          </w:tcPr>
          <w:p w14:paraId="31C8BF27" w14:textId="77777777" w:rsidR="00905C77" w:rsidRPr="00834B45" w:rsidRDefault="006A7D59"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Department of Environment and Energy</w:t>
            </w:r>
          </w:p>
        </w:tc>
        <w:tc>
          <w:tcPr>
            <w:tcW w:w="0" w:type="auto"/>
          </w:tcPr>
          <w:p w14:paraId="31C8BF28" w14:textId="77777777" w:rsidR="00905C77" w:rsidRDefault="006A7D59"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Threatened Ecological </w:t>
            </w:r>
            <w:r w:rsidR="005943E0">
              <w:rPr>
                <w:sz w:val="18"/>
                <w:szCs w:val="18"/>
              </w:rPr>
              <w:t>Community</w:t>
            </w:r>
            <w:r>
              <w:rPr>
                <w:sz w:val="18"/>
                <w:szCs w:val="18"/>
              </w:rPr>
              <w:t xml:space="preserve"> </w:t>
            </w:r>
            <w:hyperlink r:id="rId138" w:history="1">
              <w:r>
                <w:rPr>
                  <w:rStyle w:val="Hyperlink"/>
                  <w:sz w:val="18"/>
                  <w:szCs w:val="18"/>
                </w:rPr>
                <w:t>TEC</w:t>
              </w:r>
            </w:hyperlink>
            <w:r>
              <w:rPr>
                <w:sz w:val="18"/>
                <w:szCs w:val="18"/>
              </w:rPr>
              <w:t xml:space="preserve"> </w:t>
            </w:r>
          </w:p>
          <w:p w14:paraId="31C8BF29" w14:textId="77777777" w:rsidR="006A7D59" w:rsidRPr="00834B45" w:rsidRDefault="006A7D59"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905C77" w:rsidRPr="00834B45" w14:paraId="31C8BF2F"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F2B" w14:textId="77777777" w:rsidR="00905C77" w:rsidRPr="00834B45" w:rsidRDefault="00905C77" w:rsidP="00B81366">
            <w:pPr>
              <w:pStyle w:val="BodyText"/>
              <w:spacing w:before="0"/>
              <w:rPr>
                <w:b w:val="0"/>
                <w:sz w:val="18"/>
                <w:szCs w:val="18"/>
              </w:rPr>
            </w:pPr>
            <w:r w:rsidRPr="00834B45">
              <w:rPr>
                <w:b w:val="0"/>
                <w:sz w:val="18"/>
                <w:szCs w:val="18"/>
              </w:rPr>
              <w:t>Leaf Area Index</w:t>
            </w:r>
          </w:p>
        </w:tc>
        <w:tc>
          <w:tcPr>
            <w:tcW w:w="0" w:type="auto"/>
          </w:tcPr>
          <w:p w14:paraId="31C8BF2C" w14:textId="77777777" w:rsidR="00905C77" w:rsidRPr="00834B45" w:rsidRDefault="00DA1725"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MODIS </w:t>
            </w:r>
            <w:r w:rsidR="00145F26">
              <w:rPr>
                <w:sz w:val="18"/>
                <w:szCs w:val="18"/>
              </w:rPr>
              <w:t xml:space="preserve">- </w:t>
            </w:r>
            <w:r>
              <w:rPr>
                <w:sz w:val="18"/>
                <w:szCs w:val="18"/>
              </w:rPr>
              <w:t>NASA</w:t>
            </w:r>
          </w:p>
        </w:tc>
        <w:tc>
          <w:tcPr>
            <w:tcW w:w="0" w:type="auto"/>
          </w:tcPr>
          <w:p w14:paraId="31C8BF2D" w14:textId="77777777" w:rsidR="00905C77" w:rsidRDefault="00085933"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hyperlink r:id="rId139" w:history="1">
              <w:r w:rsidR="00DA1725">
                <w:rPr>
                  <w:rStyle w:val="Hyperlink"/>
                  <w:sz w:val="18"/>
                  <w:szCs w:val="18"/>
                </w:rPr>
                <w:t>MODIS</w:t>
              </w:r>
            </w:hyperlink>
          </w:p>
          <w:p w14:paraId="31C8BF2E" w14:textId="77777777" w:rsidR="00DA1725" w:rsidRPr="00834B45" w:rsidRDefault="00DA1725"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905C77" w:rsidRPr="00834B45" w14:paraId="31C8BF33" w14:textId="77777777" w:rsidTr="00B81366">
        <w:tc>
          <w:tcPr>
            <w:cnfStyle w:val="001000000000" w:firstRow="0" w:lastRow="0" w:firstColumn="1" w:lastColumn="0" w:oddVBand="0" w:evenVBand="0" w:oddHBand="0" w:evenHBand="0" w:firstRowFirstColumn="0" w:firstRowLastColumn="0" w:lastRowFirstColumn="0" w:lastRowLastColumn="0"/>
            <w:tcW w:w="0" w:type="auto"/>
          </w:tcPr>
          <w:p w14:paraId="31C8BF30" w14:textId="77777777" w:rsidR="00905C77" w:rsidRPr="00834B45" w:rsidRDefault="00905C77" w:rsidP="00B81366">
            <w:pPr>
              <w:pStyle w:val="BodyText"/>
              <w:spacing w:before="0"/>
              <w:rPr>
                <w:b w:val="0"/>
                <w:sz w:val="18"/>
                <w:szCs w:val="18"/>
              </w:rPr>
            </w:pPr>
            <w:r w:rsidRPr="00834B45">
              <w:rPr>
                <w:b w:val="0"/>
                <w:sz w:val="18"/>
                <w:szCs w:val="18"/>
              </w:rPr>
              <w:t>Root depth</w:t>
            </w:r>
          </w:p>
        </w:tc>
        <w:tc>
          <w:tcPr>
            <w:tcW w:w="0" w:type="auto"/>
          </w:tcPr>
          <w:p w14:paraId="31C8BF31"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r w:rsidRPr="00834B45">
              <w:rPr>
                <w:sz w:val="18"/>
                <w:szCs w:val="18"/>
              </w:rPr>
              <w:t>Reports, site assessments</w:t>
            </w:r>
          </w:p>
        </w:tc>
        <w:tc>
          <w:tcPr>
            <w:tcW w:w="0" w:type="auto"/>
          </w:tcPr>
          <w:p w14:paraId="31C8BF32" w14:textId="77777777" w:rsidR="00905C77" w:rsidRPr="00834B45" w:rsidRDefault="00905C77" w:rsidP="00B81366">
            <w:pPr>
              <w:pStyle w:val="BodyText"/>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905C77" w:rsidRPr="00834B45" w14:paraId="31C8BF38" w14:textId="77777777" w:rsidTr="00B8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C8BF34" w14:textId="77777777" w:rsidR="00905C77" w:rsidRPr="00834B45" w:rsidRDefault="00905C77" w:rsidP="00B81366">
            <w:pPr>
              <w:pStyle w:val="BodyText"/>
              <w:spacing w:before="0"/>
              <w:rPr>
                <w:b w:val="0"/>
                <w:sz w:val="18"/>
                <w:szCs w:val="18"/>
              </w:rPr>
            </w:pPr>
            <w:r w:rsidRPr="00834B45">
              <w:rPr>
                <w:b w:val="0"/>
                <w:sz w:val="18"/>
                <w:szCs w:val="18"/>
              </w:rPr>
              <w:t>Vegetation condition</w:t>
            </w:r>
          </w:p>
        </w:tc>
        <w:tc>
          <w:tcPr>
            <w:tcW w:w="0" w:type="auto"/>
          </w:tcPr>
          <w:p w14:paraId="31C8BF35"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sidRPr="00834B45">
              <w:rPr>
                <w:sz w:val="18"/>
                <w:szCs w:val="18"/>
              </w:rPr>
              <w:t>Reports, maps, site assessments, satellite imagery</w:t>
            </w:r>
          </w:p>
        </w:tc>
        <w:tc>
          <w:tcPr>
            <w:tcW w:w="0" w:type="auto"/>
          </w:tcPr>
          <w:p w14:paraId="31C8BF36" w14:textId="77777777" w:rsidR="00B90384" w:rsidRDefault="00B90384" w:rsidP="00B90384">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Derive from </w:t>
            </w:r>
            <w:r w:rsidR="00905C77">
              <w:rPr>
                <w:sz w:val="18"/>
                <w:szCs w:val="18"/>
              </w:rPr>
              <w:t>Landsat mosaic;</w:t>
            </w:r>
            <w:r w:rsidR="00905C77" w:rsidRPr="00834B45">
              <w:rPr>
                <w:sz w:val="18"/>
                <w:szCs w:val="18"/>
              </w:rPr>
              <w:t xml:space="preserve"> </w:t>
            </w:r>
            <w:hyperlink r:id="rId140" w:history="1">
              <w:r>
                <w:rPr>
                  <w:rStyle w:val="Hyperlink"/>
                  <w:sz w:val="18"/>
                  <w:szCs w:val="18"/>
                </w:rPr>
                <w:t>MODIS</w:t>
              </w:r>
            </w:hyperlink>
          </w:p>
          <w:p w14:paraId="31C8BF37" w14:textId="77777777" w:rsidR="00905C77" w:rsidRPr="00834B45" w:rsidRDefault="00905C77" w:rsidP="00B81366">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31C8BF39" w14:textId="77777777" w:rsidR="00905C77" w:rsidRPr="00905C77" w:rsidRDefault="00905C77" w:rsidP="00905C77">
      <w:pPr>
        <w:pStyle w:val="BodyText"/>
      </w:pPr>
    </w:p>
    <w:p w14:paraId="31C8BF3A" w14:textId="77777777" w:rsidR="00905C77" w:rsidRDefault="00905C77" w:rsidP="0000258D">
      <w:pPr>
        <w:pStyle w:val="Heading9"/>
      </w:pPr>
      <w:bookmarkStart w:id="101" w:name="_Toc509996507"/>
      <w:r>
        <w:lastRenderedPageBreak/>
        <w:t>Resources available for specifically identifying/assessing GDEs – state</w:t>
      </w:r>
      <w:r w:rsidR="00E04F7D">
        <w:t>-level</w:t>
      </w:r>
      <w:bookmarkEnd w:id="101"/>
    </w:p>
    <w:p w14:paraId="31C8BF3B" w14:textId="77777777" w:rsidR="00905C77" w:rsidRPr="003E1A05" w:rsidRDefault="00BB1DD0" w:rsidP="00905C77">
      <w:pPr>
        <w:pStyle w:val="Caption"/>
        <w:rPr>
          <w:b/>
          <w:color w:val="000000" w:themeColor="text1"/>
        </w:rPr>
      </w:pPr>
      <w:bookmarkStart w:id="102" w:name="_Ref507708546"/>
      <w:bookmarkStart w:id="103" w:name="_Toc509991056"/>
      <w:r>
        <w:t>App</w:t>
      </w:r>
      <w:r w:rsidR="00905C77">
        <w:t xml:space="preserve"> Table </w:t>
      </w:r>
      <w:r w:rsidR="00085933">
        <w:fldChar w:fldCharType="begin"/>
      </w:r>
      <w:r w:rsidR="00085933">
        <w:instrText xml:space="preserve"> SEQ Apx_Table \* ARABIC </w:instrText>
      </w:r>
      <w:r w:rsidR="00085933">
        <w:fldChar w:fldCharType="separate"/>
      </w:r>
      <w:r w:rsidR="00E96B43">
        <w:rPr>
          <w:noProof/>
        </w:rPr>
        <w:t>4</w:t>
      </w:r>
      <w:r w:rsidR="00085933">
        <w:rPr>
          <w:noProof/>
        </w:rPr>
        <w:fldChar w:fldCharType="end"/>
      </w:r>
      <w:bookmarkEnd w:id="102"/>
      <w:r w:rsidR="00905C77" w:rsidRPr="003E1A05">
        <w:rPr>
          <w:color w:val="000000" w:themeColor="text1"/>
        </w:rPr>
        <w:t xml:space="preserve">. </w:t>
      </w:r>
      <w:r w:rsidR="0069258B">
        <w:rPr>
          <w:color w:val="000000" w:themeColor="text1"/>
        </w:rPr>
        <w:t>Summary of r</w:t>
      </w:r>
      <w:r w:rsidR="00905C77" w:rsidRPr="003E1A05">
        <w:rPr>
          <w:color w:val="000000" w:themeColor="text1"/>
        </w:rPr>
        <w:t xml:space="preserve">esources available </w:t>
      </w:r>
      <w:r w:rsidR="000B2251">
        <w:rPr>
          <w:color w:val="000000" w:themeColor="text1"/>
        </w:rPr>
        <w:t xml:space="preserve">to specifically </w:t>
      </w:r>
      <w:r w:rsidR="00905C77" w:rsidRPr="003E1A05">
        <w:rPr>
          <w:color w:val="000000" w:themeColor="text1"/>
        </w:rPr>
        <w:t>identify/assess GDEs for each state/territory</w:t>
      </w:r>
      <w:r w:rsidR="00E04F7D">
        <w:rPr>
          <w:color w:val="000000" w:themeColor="text1"/>
        </w:rPr>
        <w:t xml:space="preserve"> (i</w:t>
      </w:r>
      <w:r w:rsidR="002D639C">
        <w:rPr>
          <w:color w:val="000000" w:themeColor="text1"/>
        </w:rPr>
        <w:t>ncludes GIS layers, reports and websites</w:t>
      </w:r>
      <w:r w:rsidR="00E04F7D">
        <w:rPr>
          <w:color w:val="000000" w:themeColor="text1"/>
        </w:rPr>
        <w:t>)</w:t>
      </w:r>
      <w:r w:rsidR="002D639C">
        <w:rPr>
          <w:color w:val="000000" w:themeColor="text1"/>
        </w:rPr>
        <w:t>.</w:t>
      </w:r>
      <w:bookmarkEnd w:id="103"/>
    </w:p>
    <w:tbl>
      <w:tblPr>
        <w:tblStyle w:val="TableCSIRO"/>
        <w:tblW w:w="0" w:type="auto"/>
        <w:jc w:val="center"/>
        <w:tblInd w:w="0" w:type="dxa"/>
        <w:tblLayout w:type="fixed"/>
        <w:tblLook w:val="04A0" w:firstRow="1" w:lastRow="0" w:firstColumn="1" w:lastColumn="0" w:noHBand="0" w:noVBand="1"/>
      </w:tblPr>
      <w:tblGrid>
        <w:gridCol w:w="2009"/>
        <w:gridCol w:w="5529"/>
      </w:tblGrid>
      <w:tr w:rsidR="006A4710" w:rsidRPr="00834B45" w14:paraId="31C8BF3E" w14:textId="77777777" w:rsidTr="00A02A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dxa"/>
          </w:tcPr>
          <w:p w14:paraId="31C8BF3C" w14:textId="77777777" w:rsidR="006A4710" w:rsidRPr="00834B45" w:rsidRDefault="006A4710" w:rsidP="00B81366">
            <w:pPr>
              <w:pStyle w:val="RowHeading"/>
            </w:pPr>
            <w:r>
              <w:t>Scale</w:t>
            </w:r>
          </w:p>
        </w:tc>
        <w:tc>
          <w:tcPr>
            <w:tcW w:w="5529" w:type="dxa"/>
          </w:tcPr>
          <w:p w14:paraId="31C8BF3D" w14:textId="77777777" w:rsidR="006A4710" w:rsidRPr="00D03FB8" w:rsidRDefault="006A4710" w:rsidP="008D0035">
            <w:pPr>
              <w:pStyle w:val="RowHeading"/>
              <w:jc w:val="center"/>
              <w:cnfStyle w:val="100000000000" w:firstRow="1" w:lastRow="0" w:firstColumn="0" w:lastColumn="0" w:oddVBand="0" w:evenVBand="0" w:oddHBand="0" w:evenHBand="0" w:firstRowFirstColumn="0" w:firstRowLastColumn="0" w:lastRowFirstColumn="0" w:lastRowLastColumn="0"/>
            </w:pPr>
            <w:r>
              <w:t>Data Available</w:t>
            </w:r>
          </w:p>
        </w:tc>
      </w:tr>
      <w:tr w:rsidR="006A4710" w:rsidRPr="00834B45" w14:paraId="31C8BF4C" w14:textId="77777777" w:rsidTr="00A02A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dxa"/>
          </w:tcPr>
          <w:p w14:paraId="31C8BF3F" w14:textId="77777777" w:rsidR="006A4710" w:rsidRPr="00834B45" w:rsidRDefault="006A4710" w:rsidP="002B4956">
            <w:pPr>
              <w:rPr>
                <w:sz w:val="18"/>
                <w:szCs w:val="18"/>
              </w:rPr>
            </w:pPr>
            <w:r w:rsidRPr="00834B45">
              <w:rPr>
                <w:sz w:val="18"/>
                <w:szCs w:val="18"/>
              </w:rPr>
              <w:t>Q</w:t>
            </w:r>
            <w:r>
              <w:rPr>
                <w:sz w:val="18"/>
                <w:szCs w:val="18"/>
              </w:rPr>
              <w:t>ueensland</w:t>
            </w:r>
          </w:p>
        </w:tc>
        <w:tc>
          <w:tcPr>
            <w:tcW w:w="5529" w:type="dxa"/>
          </w:tcPr>
          <w:p w14:paraId="31C8BF40" w14:textId="77777777" w:rsidR="00656E6E" w:rsidRDefault="00085933" w:rsidP="00663E98">
            <w:pPr>
              <w:spacing w:after="0"/>
              <w:cnfStyle w:val="000000100000" w:firstRow="0" w:lastRow="0" w:firstColumn="0" w:lastColumn="0" w:oddVBand="0" w:evenVBand="0" w:oddHBand="1" w:evenHBand="0" w:firstRowFirstColumn="0" w:firstRowLastColumn="0" w:lastRowFirstColumn="0" w:lastRowLastColumn="0"/>
              <w:rPr>
                <w:rStyle w:val="Hyperlink"/>
                <w:sz w:val="18"/>
                <w:szCs w:val="18"/>
              </w:rPr>
            </w:pPr>
            <w:hyperlink r:id="rId141" w:history="1">
              <w:r w:rsidR="006A4710" w:rsidRPr="00663E98">
                <w:rPr>
                  <w:rStyle w:val="Hyperlink"/>
                  <w:sz w:val="18"/>
                  <w:szCs w:val="18"/>
                </w:rPr>
                <w:t>Queensland Spring Database</w:t>
              </w:r>
            </w:hyperlink>
          </w:p>
          <w:p w14:paraId="31C8BF41" w14:textId="77777777" w:rsidR="00656E6E" w:rsidRDefault="00656E6E" w:rsidP="00663E98">
            <w:pPr>
              <w:spacing w:after="0"/>
              <w:cnfStyle w:val="000000100000" w:firstRow="0" w:lastRow="0" w:firstColumn="0" w:lastColumn="0" w:oddVBand="0" w:evenVBand="0" w:oddHBand="1" w:evenHBand="0" w:firstRowFirstColumn="0" w:firstRowLastColumn="0" w:lastRowFirstColumn="0" w:lastRowLastColumn="0"/>
              <w:rPr>
                <w:rStyle w:val="Hyperlink"/>
                <w:sz w:val="18"/>
                <w:szCs w:val="18"/>
              </w:rPr>
            </w:pPr>
          </w:p>
          <w:p w14:paraId="31C8BF42" w14:textId="77777777" w:rsidR="006A4710" w:rsidRDefault="00085933" w:rsidP="00663E98">
            <w:pPr>
              <w:spacing w:after="0"/>
              <w:cnfStyle w:val="000000100000" w:firstRow="0" w:lastRow="0" w:firstColumn="0" w:lastColumn="0" w:oddVBand="0" w:evenVBand="0" w:oddHBand="1" w:evenHBand="0" w:firstRowFirstColumn="0" w:firstRowLastColumn="0" w:lastRowFirstColumn="0" w:lastRowLastColumn="0"/>
              <w:rPr>
                <w:sz w:val="18"/>
                <w:szCs w:val="18"/>
              </w:rPr>
            </w:pPr>
            <w:hyperlink r:id="rId142" w:history="1">
              <w:r w:rsidR="006A4710" w:rsidRPr="00663E98">
                <w:rPr>
                  <w:rStyle w:val="Hyperlink"/>
                  <w:sz w:val="18"/>
                  <w:szCs w:val="18"/>
                </w:rPr>
                <w:t>Queensland GDE dataset</w:t>
              </w:r>
            </w:hyperlink>
          </w:p>
          <w:p w14:paraId="31C8BF43" w14:textId="77777777" w:rsidR="00C4397D" w:rsidRPr="00663E98" w:rsidRDefault="00C4397D" w:rsidP="00663E98">
            <w:pPr>
              <w:spacing w:after="0"/>
              <w:cnfStyle w:val="000000100000" w:firstRow="0" w:lastRow="0" w:firstColumn="0" w:lastColumn="0" w:oddVBand="0" w:evenVBand="0" w:oddHBand="1" w:evenHBand="0" w:firstRowFirstColumn="0" w:firstRowLastColumn="0" w:lastRowFirstColumn="0" w:lastRowLastColumn="0"/>
              <w:rPr>
                <w:sz w:val="18"/>
                <w:szCs w:val="18"/>
              </w:rPr>
            </w:pPr>
          </w:p>
          <w:p w14:paraId="31C8BF44" w14:textId="77777777" w:rsidR="006A4710" w:rsidRDefault="00085933" w:rsidP="006A4710">
            <w:pPr>
              <w:spacing w:after="0"/>
              <w:cnfStyle w:val="000000100000" w:firstRow="0" w:lastRow="0" w:firstColumn="0" w:lastColumn="0" w:oddVBand="0" w:evenVBand="0" w:oddHBand="1" w:evenHBand="0" w:firstRowFirstColumn="0" w:firstRowLastColumn="0" w:lastRowFirstColumn="0" w:lastRowLastColumn="0"/>
              <w:rPr>
                <w:sz w:val="18"/>
                <w:szCs w:val="18"/>
              </w:rPr>
            </w:pPr>
            <w:hyperlink r:id="rId143" w:history="1">
              <w:r w:rsidR="006A4710" w:rsidRPr="00663E98">
                <w:rPr>
                  <w:rStyle w:val="Hyperlink"/>
                  <w:sz w:val="18"/>
                  <w:szCs w:val="18"/>
                </w:rPr>
                <w:t>Wetland Maps</w:t>
              </w:r>
            </w:hyperlink>
            <w:r w:rsidR="006A4710" w:rsidRPr="00663E98">
              <w:rPr>
                <w:sz w:val="18"/>
                <w:szCs w:val="18"/>
              </w:rPr>
              <w:t xml:space="preserve"> </w:t>
            </w:r>
          </w:p>
          <w:p w14:paraId="31C8BF45" w14:textId="77777777" w:rsidR="00C4397D" w:rsidRPr="00663E98" w:rsidRDefault="00C4397D" w:rsidP="006A4710">
            <w:pPr>
              <w:spacing w:after="0"/>
              <w:cnfStyle w:val="000000100000" w:firstRow="0" w:lastRow="0" w:firstColumn="0" w:lastColumn="0" w:oddVBand="0" w:evenVBand="0" w:oddHBand="1" w:evenHBand="0" w:firstRowFirstColumn="0" w:firstRowLastColumn="0" w:lastRowFirstColumn="0" w:lastRowLastColumn="0"/>
              <w:rPr>
                <w:sz w:val="18"/>
                <w:szCs w:val="18"/>
              </w:rPr>
            </w:pPr>
          </w:p>
          <w:p w14:paraId="31C8BF46" w14:textId="77777777" w:rsidR="006A4710" w:rsidRDefault="00085933" w:rsidP="00663E98">
            <w:pPr>
              <w:spacing w:after="0"/>
              <w:cnfStyle w:val="000000100000" w:firstRow="0" w:lastRow="0" w:firstColumn="0" w:lastColumn="0" w:oddVBand="0" w:evenVBand="0" w:oddHBand="1" w:evenHBand="0" w:firstRowFirstColumn="0" w:firstRowLastColumn="0" w:lastRowFirstColumn="0" w:lastRowLastColumn="0"/>
              <w:rPr>
                <w:sz w:val="18"/>
                <w:szCs w:val="18"/>
              </w:rPr>
            </w:pPr>
            <w:hyperlink r:id="rId144" w:history="1">
              <w:r w:rsidR="006A4710" w:rsidRPr="00663E98">
                <w:rPr>
                  <w:rStyle w:val="Hyperlink"/>
                  <w:sz w:val="18"/>
                  <w:szCs w:val="18"/>
                </w:rPr>
                <w:t>Biodiversity Status of Remnant Regional Ecosystems</w:t>
              </w:r>
            </w:hyperlink>
          </w:p>
          <w:p w14:paraId="31C8BF47" w14:textId="77777777" w:rsidR="00C4397D" w:rsidRPr="00663E98" w:rsidRDefault="00C4397D" w:rsidP="00663E98">
            <w:pPr>
              <w:spacing w:after="0"/>
              <w:cnfStyle w:val="000000100000" w:firstRow="0" w:lastRow="0" w:firstColumn="0" w:lastColumn="0" w:oddVBand="0" w:evenVBand="0" w:oddHBand="1" w:evenHBand="0" w:firstRowFirstColumn="0" w:firstRowLastColumn="0" w:lastRowFirstColumn="0" w:lastRowLastColumn="0"/>
              <w:rPr>
                <w:sz w:val="18"/>
                <w:szCs w:val="18"/>
              </w:rPr>
            </w:pPr>
          </w:p>
          <w:p w14:paraId="31C8BF48" w14:textId="77777777" w:rsidR="006A4710" w:rsidRDefault="00085933" w:rsidP="00663E98">
            <w:pPr>
              <w:pStyle w:val="FootnoteText"/>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Style w:val="Hyperlink"/>
                <w:sz w:val="18"/>
                <w:szCs w:val="18"/>
              </w:rPr>
            </w:pPr>
            <w:hyperlink r:id="rId145" w:history="1">
              <w:r w:rsidR="006A4710">
                <w:rPr>
                  <w:rStyle w:val="Hyperlink"/>
                  <w:sz w:val="18"/>
                  <w:szCs w:val="18"/>
                </w:rPr>
                <w:t xml:space="preserve">Matters of State Environmental Significance </w:t>
              </w:r>
            </w:hyperlink>
          </w:p>
          <w:p w14:paraId="31C8BF49" w14:textId="77777777" w:rsidR="00C4397D" w:rsidRPr="00834B45" w:rsidRDefault="00C4397D" w:rsidP="00663E98">
            <w:pPr>
              <w:pStyle w:val="FootnoteText"/>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p>
          <w:p w14:paraId="31C8BF4A" w14:textId="77777777" w:rsidR="00C4397D" w:rsidRPr="00834B45" w:rsidRDefault="00085933" w:rsidP="00663E98">
            <w:pPr>
              <w:pStyle w:val="FootnoteText"/>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sz w:val="18"/>
                <w:szCs w:val="18"/>
              </w:rPr>
            </w:pPr>
            <w:hyperlink r:id="rId146" w:history="1">
              <w:r w:rsidR="006A4710">
                <w:rPr>
                  <w:rStyle w:val="Hyperlink"/>
                  <w:sz w:val="18"/>
                  <w:szCs w:val="18"/>
                </w:rPr>
                <w:t>Water Monitoring Portal</w:t>
              </w:r>
            </w:hyperlink>
          </w:p>
          <w:p w14:paraId="31C8BF4B" w14:textId="77777777" w:rsidR="00C4397D" w:rsidRPr="00663E98" w:rsidRDefault="00C4397D" w:rsidP="00656E6E">
            <w:pPr>
              <w:spacing w:after="0"/>
              <w:cnfStyle w:val="000000100000" w:firstRow="0" w:lastRow="0" w:firstColumn="0" w:lastColumn="0" w:oddVBand="0" w:evenVBand="0" w:oddHBand="1" w:evenHBand="0" w:firstRowFirstColumn="0" w:firstRowLastColumn="0" w:lastRowFirstColumn="0" w:lastRowLastColumn="0"/>
              <w:rPr>
                <w:sz w:val="18"/>
                <w:szCs w:val="18"/>
              </w:rPr>
            </w:pPr>
          </w:p>
        </w:tc>
      </w:tr>
      <w:tr w:rsidR="006A4710" w:rsidRPr="00834B45" w14:paraId="31C8BF54" w14:textId="77777777" w:rsidTr="00A02AB0">
        <w:trPr>
          <w:jc w:val="center"/>
        </w:trPr>
        <w:tc>
          <w:tcPr>
            <w:cnfStyle w:val="001000000000" w:firstRow="0" w:lastRow="0" w:firstColumn="1" w:lastColumn="0" w:oddVBand="0" w:evenVBand="0" w:oddHBand="0" w:evenHBand="0" w:firstRowFirstColumn="0" w:firstRowLastColumn="0" w:lastRowFirstColumn="0" w:lastRowLastColumn="0"/>
            <w:tcW w:w="2009" w:type="dxa"/>
          </w:tcPr>
          <w:p w14:paraId="31C8BF4D" w14:textId="77777777" w:rsidR="006A4710" w:rsidRPr="00834B45" w:rsidRDefault="006A4710" w:rsidP="002B4956">
            <w:pPr>
              <w:rPr>
                <w:sz w:val="18"/>
                <w:szCs w:val="18"/>
              </w:rPr>
            </w:pPr>
            <w:r w:rsidRPr="00834B45">
              <w:rPr>
                <w:sz w:val="18"/>
                <w:szCs w:val="18"/>
              </w:rPr>
              <w:t>N</w:t>
            </w:r>
            <w:r>
              <w:rPr>
                <w:sz w:val="18"/>
                <w:szCs w:val="18"/>
              </w:rPr>
              <w:t>ew South Wales</w:t>
            </w:r>
            <w:r w:rsidR="00A02AB0">
              <w:rPr>
                <w:sz w:val="18"/>
                <w:szCs w:val="18"/>
              </w:rPr>
              <w:t xml:space="preserve"> and Australian Capital Territory</w:t>
            </w:r>
          </w:p>
        </w:tc>
        <w:tc>
          <w:tcPr>
            <w:tcW w:w="5529" w:type="dxa"/>
          </w:tcPr>
          <w:p w14:paraId="31C8BF4E" w14:textId="77777777" w:rsidR="006A4710" w:rsidRDefault="00085933" w:rsidP="00B81366">
            <w:pPr>
              <w:cnfStyle w:val="000000000000" w:firstRow="0" w:lastRow="0" w:firstColumn="0" w:lastColumn="0" w:oddVBand="0" w:evenVBand="0" w:oddHBand="0" w:evenHBand="0" w:firstRowFirstColumn="0" w:firstRowLastColumn="0" w:lastRowFirstColumn="0" w:lastRowLastColumn="0"/>
              <w:rPr>
                <w:rStyle w:val="Hyperlink"/>
                <w:sz w:val="18"/>
                <w:szCs w:val="18"/>
              </w:rPr>
            </w:pPr>
            <w:hyperlink r:id="rId147" w:history="1">
              <w:r w:rsidR="006A4710">
                <w:rPr>
                  <w:rStyle w:val="Hyperlink"/>
                  <w:sz w:val="18"/>
                  <w:szCs w:val="18"/>
                </w:rPr>
                <w:t>GDE Risk Assessment Guidelines</w:t>
              </w:r>
            </w:hyperlink>
          </w:p>
          <w:p w14:paraId="31C8BF4F" w14:textId="77777777" w:rsidR="006A4710" w:rsidRDefault="00085933" w:rsidP="00B81366">
            <w:pPr>
              <w:cnfStyle w:val="000000000000" w:firstRow="0" w:lastRow="0" w:firstColumn="0" w:lastColumn="0" w:oddVBand="0" w:evenVBand="0" w:oddHBand="0" w:evenHBand="0" w:firstRowFirstColumn="0" w:firstRowLastColumn="0" w:lastRowFirstColumn="0" w:lastRowLastColumn="0"/>
              <w:rPr>
                <w:rStyle w:val="Hyperlink"/>
                <w:sz w:val="18"/>
                <w:szCs w:val="18"/>
              </w:rPr>
            </w:pPr>
            <w:hyperlink r:id="rId148" w:history="1">
              <w:r w:rsidR="006A4710">
                <w:rPr>
                  <w:rStyle w:val="Hyperlink"/>
                  <w:sz w:val="18"/>
                  <w:szCs w:val="18"/>
                </w:rPr>
                <w:t>GDE Dataset</w:t>
              </w:r>
            </w:hyperlink>
          </w:p>
          <w:p w14:paraId="31C8BF50" w14:textId="77777777" w:rsidR="006A4710" w:rsidRDefault="00085933" w:rsidP="00B81366">
            <w:pPr>
              <w:cnfStyle w:val="000000000000" w:firstRow="0" w:lastRow="0" w:firstColumn="0" w:lastColumn="0" w:oddVBand="0" w:evenVBand="0" w:oddHBand="0" w:evenHBand="0" w:firstRowFirstColumn="0" w:firstRowLastColumn="0" w:lastRowFirstColumn="0" w:lastRowLastColumn="0"/>
              <w:rPr>
                <w:rStyle w:val="Hyperlink"/>
                <w:sz w:val="18"/>
                <w:szCs w:val="18"/>
              </w:rPr>
            </w:pPr>
            <w:hyperlink r:id="rId149" w:history="1">
              <w:r w:rsidR="006A4710">
                <w:rPr>
                  <w:rStyle w:val="Hyperlink"/>
                  <w:sz w:val="18"/>
                  <w:szCs w:val="18"/>
                </w:rPr>
                <w:t>GDE Policy</w:t>
              </w:r>
            </w:hyperlink>
          </w:p>
          <w:p w14:paraId="31C8BF51" w14:textId="77777777" w:rsidR="006A4710" w:rsidRDefault="00085933" w:rsidP="006A4710">
            <w:pPr>
              <w:cnfStyle w:val="000000000000" w:firstRow="0" w:lastRow="0" w:firstColumn="0" w:lastColumn="0" w:oddVBand="0" w:evenVBand="0" w:oddHBand="0" w:evenHBand="0" w:firstRowFirstColumn="0" w:firstRowLastColumn="0" w:lastRowFirstColumn="0" w:lastRowLastColumn="0"/>
              <w:rPr>
                <w:rStyle w:val="Hyperlink"/>
                <w:sz w:val="18"/>
                <w:szCs w:val="18"/>
              </w:rPr>
            </w:pPr>
            <w:hyperlink r:id="rId150" w:history="1">
              <w:r w:rsidR="006A4710">
                <w:rPr>
                  <w:rStyle w:val="Hyperlink"/>
                  <w:sz w:val="18"/>
                  <w:szCs w:val="18"/>
                </w:rPr>
                <w:t>GDE Method</w:t>
              </w:r>
            </w:hyperlink>
          </w:p>
          <w:p w14:paraId="31C8BF52" w14:textId="77777777" w:rsidR="00C4397D" w:rsidRDefault="00085933" w:rsidP="00C4397D">
            <w:pPr>
              <w:cnfStyle w:val="000000000000" w:firstRow="0" w:lastRow="0" w:firstColumn="0" w:lastColumn="0" w:oddVBand="0" w:evenVBand="0" w:oddHBand="0" w:evenHBand="0" w:firstRowFirstColumn="0" w:firstRowLastColumn="0" w:lastRowFirstColumn="0" w:lastRowLastColumn="0"/>
              <w:rPr>
                <w:rStyle w:val="Hyperlink"/>
                <w:sz w:val="18"/>
                <w:szCs w:val="18"/>
              </w:rPr>
            </w:pPr>
            <w:hyperlink r:id="rId151" w:history="1">
              <w:r w:rsidR="00C4397D">
                <w:rPr>
                  <w:rStyle w:val="Hyperlink"/>
                  <w:sz w:val="18"/>
                  <w:szCs w:val="18"/>
                </w:rPr>
                <w:t>Namoi GDE Review</w:t>
              </w:r>
            </w:hyperlink>
          </w:p>
          <w:p w14:paraId="31C8BF53" w14:textId="77777777" w:rsidR="000B2251" w:rsidRPr="00834B45" w:rsidRDefault="00085933" w:rsidP="000B2251">
            <w:pPr>
              <w:cnfStyle w:val="000000000000" w:firstRow="0" w:lastRow="0" w:firstColumn="0" w:lastColumn="0" w:oddVBand="0" w:evenVBand="0" w:oddHBand="0" w:evenHBand="0" w:firstRowFirstColumn="0" w:firstRowLastColumn="0" w:lastRowFirstColumn="0" w:lastRowLastColumn="0"/>
              <w:rPr>
                <w:sz w:val="18"/>
                <w:szCs w:val="18"/>
              </w:rPr>
            </w:pPr>
            <w:hyperlink r:id="rId152" w:history="1">
              <w:r w:rsidR="000B2251">
                <w:rPr>
                  <w:rStyle w:val="Hyperlink"/>
                  <w:sz w:val="18"/>
                  <w:szCs w:val="18"/>
                </w:rPr>
                <w:t>Groundwater Data</w:t>
              </w:r>
            </w:hyperlink>
          </w:p>
        </w:tc>
      </w:tr>
      <w:tr w:rsidR="006A4710" w:rsidRPr="00834B45" w14:paraId="31C8BF5E" w14:textId="77777777" w:rsidTr="00A02AB0">
        <w:trPr>
          <w:cnfStyle w:val="000000100000" w:firstRow="0" w:lastRow="0" w:firstColumn="0" w:lastColumn="0" w:oddVBand="0" w:evenVBand="0" w:oddHBand="1" w:evenHBand="0" w:firstRowFirstColumn="0" w:firstRowLastColumn="0" w:lastRowFirstColumn="0" w:lastRowLastColumn="0"/>
          <w:trHeight w:val="1745"/>
          <w:jc w:val="center"/>
        </w:trPr>
        <w:tc>
          <w:tcPr>
            <w:cnfStyle w:val="001000000000" w:firstRow="0" w:lastRow="0" w:firstColumn="1" w:lastColumn="0" w:oddVBand="0" w:evenVBand="0" w:oddHBand="0" w:evenHBand="0" w:firstRowFirstColumn="0" w:firstRowLastColumn="0" w:lastRowFirstColumn="0" w:lastRowLastColumn="0"/>
            <w:tcW w:w="2009" w:type="dxa"/>
          </w:tcPr>
          <w:p w14:paraId="31C8BF55" w14:textId="77777777" w:rsidR="006A4710" w:rsidRPr="00834B45" w:rsidRDefault="006A4710" w:rsidP="00B81366">
            <w:pPr>
              <w:rPr>
                <w:sz w:val="18"/>
                <w:szCs w:val="18"/>
              </w:rPr>
            </w:pPr>
            <w:r>
              <w:rPr>
                <w:sz w:val="18"/>
                <w:szCs w:val="18"/>
              </w:rPr>
              <w:t>Victoria</w:t>
            </w:r>
          </w:p>
        </w:tc>
        <w:tc>
          <w:tcPr>
            <w:tcW w:w="5529" w:type="dxa"/>
          </w:tcPr>
          <w:p w14:paraId="31C8BF56" w14:textId="77777777" w:rsidR="006A4710" w:rsidRPr="00663E98" w:rsidRDefault="00085933" w:rsidP="00663E98">
            <w:pPr>
              <w:cnfStyle w:val="000000100000" w:firstRow="0" w:lastRow="0" w:firstColumn="0" w:lastColumn="0" w:oddVBand="0" w:evenVBand="0" w:oddHBand="1" w:evenHBand="0" w:firstRowFirstColumn="0" w:firstRowLastColumn="0" w:lastRowFirstColumn="0" w:lastRowLastColumn="0"/>
              <w:rPr>
                <w:sz w:val="18"/>
                <w:szCs w:val="18"/>
              </w:rPr>
            </w:pPr>
            <w:hyperlink r:id="rId153" w:history="1">
              <w:r w:rsidR="006A4710" w:rsidRPr="00663E98">
                <w:rPr>
                  <w:rStyle w:val="Hyperlink"/>
                  <w:sz w:val="18"/>
                  <w:szCs w:val="18"/>
                </w:rPr>
                <w:t>Victoria Wetland Inventory</w:t>
              </w:r>
            </w:hyperlink>
          </w:p>
          <w:p w14:paraId="31C8BF57" w14:textId="77777777" w:rsidR="006A4710" w:rsidRDefault="00085933" w:rsidP="00663E98">
            <w:pPr>
              <w:cnfStyle w:val="000000100000" w:firstRow="0" w:lastRow="0" w:firstColumn="0" w:lastColumn="0" w:oddVBand="0" w:evenVBand="0" w:oddHBand="1" w:evenHBand="0" w:firstRowFirstColumn="0" w:firstRowLastColumn="0" w:lastRowFirstColumn="0" w:lastRowLastColumn="0"/>
              <w:rPr>
                <w:sz w:val="18"/>
                <w:szCs w:val="18"/>
              </w:rPr>
            </w:pPr>
            <w:hyperlink r:id="rId154" w:history="1">
              <w:r w:rsidR="006A4710" w:rsidRPr="00663E98">
                <w:rPr>
                  <w:rStyle w:val="Hyperlink"/>
                  <w:sz w:val="18"/>
                  <w:szCs w:val="18"/>
                </w:rPr>
                <w:t>Ecological Vegetation Classes</w:t>
              </w:r>
            </w:hyperlink>
          </w:p>
          <w:p w14:paraId="31C8BF58" w14:textId="77777777" w:rsidR="006A4710" w:rsidRDefault="00085933" w:rsidP="00663E98">
            <w:pPr>
              <w:cnfStyle w:val="000000100000" w:firstRow="0" w:lastRow="0" w:firstColumn="0" w:lastColumn="0" w:oddVBand="0" w:evenVBand="0" w:oddHBand="1" w:evenHBand="0" w:firstRowFirstColumn="0" w:firstRowLastColumn="0" w:lastRowFirstColumn="0" w:lastRowLastColumn="0"/>
              <w:rPr>
                <w:sz w:val="18"/>
                <w:szCs w:val="18"/>
              </w:rPr>
            </w:pPr>
            <w:hyperlink r:id="rId155" w:history="1">
              <w:r w:rsidR="006A4710">
                <w:rPr>
                  <w:rStyle w:val="Hyperlink"/>
                  <w:sz w:val="18"/>
                  <w:szCs w:val="18"/>
                </w:rPr>
                <w:t>GDE Mapping Method</w:t>
              </w:r>
            </w:hyperlink>
          </w:p>
          <w:p w14:paraId="31C8BF59" w14:textId="77777777" w:rsidR="006A4710" w:rsidRDefault="00085933" w:rsidP="00663E98">
            <w:pPr>
              <w:cnfStyle w:val="000000100000" w:firstRow="0" w:lastRow="0" w:firstColumn="0" w:lastColumn="0" w:oddVBand="0" w:evenVBand="0" w:oddHBand="1" w:evenHBand="0" w:firstRowFirstColumn="0" w:firstRowLastColumn="0" w:lastRowFirstColumn="0" w:lastRowLastColumn="0"/>
              <w:rPr>
                <w:sz w:val="18"/>
                <w:szCs w:val="18"/>
              </w:rPr>
            </w:pPr>
            <w:hyperlink r:id="rId156" w:history="1">
              <w:r w:rsidR="006A4710">
                <w:rPr>
                  <w:rStyle w:val="Hyperlink"/>
                  <w:sz w:val="18"/>
                  <w:szCs w:val="18"/>
                </w:rPr>
                <w:t>Wimmera GDEs</w:t>
              </w:r>
            </w:hyperlink>
          </w:p>
          <w:p w14:paraId="31C8BF5A" w14:textId="77777777" w:rsidR="006A4710" w:rsidRDefault="00085933" w:rsidP="006A4710">
            <w:pPr>
              <w:cnfStyle w:val="000000100000" w:firstRow="0" w:lastRow="0" w:firstColumn="0" w:lastColumn="0" w:oddVBand="0" w:evenVBand="0" w:oddHBand="1" w:evenHBand="0" w:firstRowFirstColumn="0" w:firstRowLastColumn="0" w:lastRowFirstColumn="0" w:lastRowLastColumn="0"/>
              <w:rPr>
                <w:rStyle w:val="Hyperlink"/>
                <w:sz w:val="18"/>
                <w:szCs w:val="18"/>
              </w:rPr>
            </w:pPr>
            <w:hyperlink r:id="rId157" w:history="1">
              <w:r w:rsidR="006A4710">
                <w:rPr>
                  <w:rStyle w:val="Hyperlink"/>
                  <w:sz w:val="18"/>
                  <w:szCs w:val="18"/>
                </w:rPr>
                <w:t>Species Tolerance Grid - GDEs</w:t>
              </w:r>
            </w:hyperlink>
          </w:p>
          <w:p w14:paraId="31C8BF5B" w14:textId="77777777" w:rsidR="003047D1" w:rsidRDefault="00085933" w:rsidP="006A4710">
            <w:pPr>
              <w:cnfStyle w:val="000000100000" w:firstRow="0" w:lastRow="0" w:firstColumn="0" w:lastColumn="0" w:oddVBand="0" w:evenVBand="0" w:oddHBand="1" w:evenHBand="0" w:firstRowFirstColumn="0" w:firstRowLastColumn="0" w:lastRowFirstColumn="0" w:lastRowLastColumn="0"/>
              <w:rPr>
                <w:sz w:val="18"/>
                <w:szCs w:val="18"/>
              </w:rPr>
            </w:pPr>
            <w:hyperlink r:id="rId158" w:history="1">
              <w:r w:rsidR="003047D1">
                <w:rPr>
                  <w:rStyle w:val="Hyperlink"/>
                  <w:sz w:val="18"/>
                  <w:szCs w:val="18"/>
                </w:rPr>
                <w:t>Bore data</w:t>
              </w:r>
            </w:hyperlink>
          </w:p>
          <w:p w14:paraId="31C8BF5C" w14:textId="77777777" w:rsidR="003047D1" w:rsidRDefault="00085933" w:rsidP="006A4710">
            <w:pPr>
              <w:cnfStyle w:val="000000100000" w:firstRow="0" w:lastRow="0" w:firstColumn="0" w:lastColumn="0" w:oddVBand="0" w:evenVBand="0" w:oddHBand="1" w:evenHBand="0" w:firstRowFirstColumn="0" w:firstRowLastColumn="0" w:lastRowFirstColumn="0" w:lastRowLastColumn="0"/>
              <w:rPr>
                <w:sz w:val="18"/>
                <w:szCs w:val="18"/>
              </w:rPr>
            </w:pPr>
            <w:hyperlink r:id="rId159" w:history="1">
              <w:r w:rsidR="003047D1">
                <w:rPr>
                  <w:rStyle w:val="Hyperlink"/>
                  <w:sz w:val="18"/>
                  <w:szCs w:val="18"/>
                </w:rPr>
                <w:t>Groundwater Data</w:t>
              </w:r>
            </w:hyperlink>
          </w:p>
          <w:p w14:paraId="31C8BF5D" w14:textId="77777777" w:rsidR="003047D1" w:rsidRPr="00663E98" w:rsidRDefault="00085933" w:rsidP="000B2251">
            <w:pPr>
              <w:cnfStyle w:val="000000100000" w:firstRow="0" w:lastRow="0" w:firstColumn="0" w:lastColumn="0" w:oddVBand="0" w:evenVBand="0" w:oddHBand="1" w:evenHBand="0" w:firstRowFirstColumn="0" w:firstRowLastColumn="0" w:lastRowFirstColumn="0" w:lastRowLastColumn="0"/>
              <w:rPr>
                <w:sz w:val="18"/>
                <w:szCs w:val="18"/>
              </w:rPr>
            </w:pPr>
            <w:hyperlink r:id="rId160" w:history="1">
              <w:r w:rsidR="000B2251">
                <w:rPr>
                  <w:rStyle w:val="Hyperlink"/>
                  <w:sz w:val="18"/>
                  <w:szCs w:val="18"/>
                </w:rPr>
                <w:t>Groundwater Quality Data</w:t>
              </w:r>
            </w:hyperlink>
            <w:r w:rsidR="000B2251">
              <w:rPr>
                <w:sz w:val="18"/>
                <w:szCs w:val="18"/>
              </w:rPr>
              <w:t xml:space="preserve"> </w:t>
            </w:r>
          </w:p>
        </w:tc>
      </w:tr>
      <w:tr w:rsidR="006A4710" w:rsidRPr="00834B45" w14:paraId="31C8BF63" w14:textId="77777777" w:rsidTr="00A02AB0">
        <w:trPr>
          <w:jc w:val="center"/>
        </w:trPr>
        <w:tc>
          <w:tcPr>
            <w:cnfStyle w:val="001000000000" w:firstRow="0" w:lastRow="0" w:firstColumn="1" w:lastColumn="0" w:oddVBand="0" w:evenVBand="0" w:oddHBand="0" w:evenHBand="0" w:firstRowFirstColumn="0" w:firstRowLastColumn="0" w:lastRowFirstColumn="0" w:lastRowLastColumn="0"/>
            <w:tcW w:w="2009" w:type="dxa"/>
          </w:tcPr>
          <w:p w14:paraId="31C8BF5F" w14:textId="77777777" w:rsidR="006A4710" w:rsidRDefault="006A4710" w:rsidP="00B81366">
            <w:pPr>
              <w:rPr>
                <w:sz w:val="18"/>
                <w:szCs w:val="18"/>
              </w:rPr>
            </w:pPr>
            <w:r>
              <w:rPr>
                <w:sz w:val="18"/>
                <w:szCs w:val="18"/>
              </w:rPr>
              <w:t>South Australia</w:t>
            </w:r>
          </w:p>
        </w:tc>
        <w:tc>
          <w:tcPr>
            <w:tcW w:w="5529" w:type="dxa"/>
          </w:tcPr>
          <w:p w14:paraId="31C8BF60" w14:textId="77777777" w:rsidR="006A4710" w:rsidRDefault="00085933" w:rsidP="00663E98">
            <w:pPr>
              <w:cnfStyle w:val="000000000000" w:firstRow="0" w:lastRow="0" w:firstColumn="0" w:lastColumn="0" w:oddVBand="0" w:evenVBand="0" w:oddHBand="0" w:evenHBand="0" w:firstRowFirstColumn="0" w:firstRowLastColumn="0" w:lastRowFirstColumn="0" w:lastRowLastColumn="0"/>
              <w:rPr>
                <w:sz w:val="18"/>
                <w:szCs w:val="18"/>
              </w:rPr>
            </w:pPr>
            <w:hyperlink r:id="rId161" w:history="1">
              <w:r w:rsidR="006A4710">
                <w:rPr>
                  <w:rStyle w:val="Hyperlink"/>
                  <w:sz w:val="18"/>
                  <w:szCs w:val="18"/>
                </w:rPr>
                <w:t>Water Connect</w:t>
              </w:r>
            </w:hyperlink>
          </w:p>
          <w:p w14:paraId="31C8BF61" w14:textId="77777777" w:rsidR="006A4710" w:rsidRDefault="00085933" w:rsidP="00663E98">
            <w:pPr>
              <w:cnfStyle w:val="000000000000" w:firstRow="0" w:lastRow="0" w:firstColumn="0" w:lastColumn="0" w:oddVBand="0" w:evenVBand="0" w:oddHBand="0" w:evenHBand="0" w:firstRowFirstColumn="0" w:firstRowLastColumn="0" w:lastRowFirstColumn="0" w:lastRowLastColumn="0"/>
              <w:rPr>
                <w:sz w:val="18"/>
                <w:szCs w:val="18"/>
              </w:rPr>
            </w:pPr>
            <w:hyperlink r:id="rId162" w:history="1">
              <w:r w:rsidR="006A4710">
                <w:rPr>
                  <w:rStyle w:val="Hyperlink"/>
                  <w:sz w:val="18"/>
                  <w:szCs w:val="18"/>
                </w:rPr>
                <w:t>South Australian Wetlands</w:t>
              </w:r>
            </w:hyperlink>
          </w:p>
          <w:p w14:paraId="31C8BF62" w14:textId="77777777" w:rsidR="006A4710" w:rsidRPr="00663E98" w:rsidRDefault="00085933" w:rsidP="006A4710">
            <w:pPr>
              <w:cnfStyle w:val="000000000000" w:firstRow="0" w:lastRow="0" w:firstColumn="0" w:lastColumn="0" w:oddVBand="0" w:evenVBand="0" w:oddHBand="0" w:evenHBand="0" w:firstRowFirstColumn="0" w:firstRowLastColumn="0" w:lastRowFirstColumn="0" w:lastRowLastColumn="0"/>
              <w:rPr>
                <w:sz w:val="18"/>
                <w:szCs w:val="18"/>
              </w:rPr>
            </w:pPr>
            <w:hyperlink r:id="rId163" w:history="1">
              <w:r w:rsidR="006A4710">
                <w:rPr>
                  <w:rStyle w:val="Hyperlink"/>
                  <w:sz w:val="18"/>
                  <w:szCs w:val="18"/>
                </w:rPr>
                <w:t>Artesian Springs</w:t>
              </w:r>
            </w:hyperlink>
          </w:p>
        </w:tc>
      </w:tr>
      <w:tr w:rsidR="006A4710" w:rsidRPr="00834B45" w14:paraId="31C8BF69" w14:textId="77777777" w:rsidTr="00A02A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dxa"/>
          </w:tcPr>
          <w:p w14:paraId="31C8BF64" w14:textId="77777777" w:rsidR="006A4710" w:rsidRDefault="006A4710" w:rsidP="00B81366">
            <w:pPr>
              <w:rPr>
                <w:sz w:val="18"/>
                <w:szCs w:val="18"/>
              </w:rPr>
            </w:pPr>
            <w:r w:rsidRPr="00834B45">
              <w:rPr>
                <w:sz w:val="18"/>
                <w:szCs w:val="18"/>
              </w:rPr>
              <w:t>W</w:t>
            </w:r>
            <w:r>
              <w:rPr>
                <w:sz w:val="18"/>
                <w:szCs w:val="18"/>
              </w:rPr>
              <w:t xml:space="preserve">estern </w:t>
            </w:r>
            <w:r w:rsidRPr="00834B45">
              <w:rPr>
                <w:sz w:val="18"/>
                <w:szCs w:val="18"/>
              </w:rPr>
              <w:t>A</w:t>
            </w:r>
            <w:r>
              <w:rPr>
                <w:sz w:val="18"/>
                <w:szCs w:val="18"/>
              </w:rPr>
              <w:t>ustralia</w:t>
            </w:r>
          </w:p>
        </w:tc>
        <w:tc>
          <w:tcPr>
            <w:tcW w:w="5529" w:type="dxa"/>
          </w:tcPr>
          <w:p w14:paraId="31C8BF65" w14:textId="77777777" w:rsidR="006A4710" w:rsidRDefault="00085933" w:rsidP="006A4710">
            <w:pPr>
              <w:cnfStyle w:val="000000100000" w:firstRow="0" w:lastRow="0" w:firstColumn="0" w:lastColumn="0" w:oddVBand="0" w:evenVBand="0" w:oddHBand="1" w:evenHBand="0" w:firstRowFirstColumn="0" w:firstRowLastColumn="0" w:lastRowFirstColumn="0" w:lastRowLastColumn="0"/>
              <w:rPr>
                <w:rStyle w:val="Hyperlink"/>
                <w:sz w:val="18"/>
                <w:szCs w:val="18"/>
              </w:rPr>
            </w:pPr>
            <w:hyperlink r:id="rId164" w:history="1">
              <w:r w:rsidR="006A4710">
                <w:rPr>
                  <w:rStyle w:val="Hyperlink"/>
                  <w:sz w:val="18"/>
                  <w:szCs w:val="18"/>
                </w:rPr>
                <w:t xml:space="preserve">Geomorphic wetland mapping </w:t>
              </w:r>
            </w:hyperlink>
          </w:p>
          <w:p w14:paraId="31C8BF66" w14:textId="77777777" w:rsidR="006A4710" w:rsidRDefault="00085933" w:rsidP="006A4710">
            <w:pPr>
              <w:cnfStyle w:val="000000100000" w:firstRow="0" w:lastRow="0" w:firstColumn="0" w:lastColumn="0" w:oddVBand="0" w:evenVBand="0" w:oddHBand="1" w:evenHBand="0" w:firstRowFirstColumn="0" w:firstRowLastColumn="0" w:lastRowFirstColumn="0" w:lastRowLastColumn="0"/>
              <w:rPr>
                <w:sz w:val="18"/>
                <w:szCs w:val="18"/>
              </w:rPr>
            </w:pPr>
            <w:hyperlink r:id="rId165" w:history="1">
              <w:r w:rsidR="006A4710">
                <w:rPr>
                  <w:rStyle w:val="Hyperlink"/>
                  <w:sz w:val="18"/>
                  <w:szCs w:val="18"/>
                </w:rPr>
                <w:t>Dampier GDEs</w:t>
              </w:r>
            </w:hyperlink>
          </w:p>
          <w:p w14:paraId="31C8BF67" w14:textId="77777777" w:rsidR="006A4710" w:rsidRDefault="00085933" w:rsidP="006A4710">
            <w:pPr>
              <w:cnfStyle w:val="000000100000" w:firstRow="0" w:lastRow="0" w:firstColumn="0" w:lastColumn="0" w:oddVBand="0" w:evenVBand="0" w:oddHBand="1" w:evenHBand="0" w:firstRowFirstColumn="0" w:firstRowLastColumn="0" w:lastRowFirstColumn="0" w:lastRowLastColumn="0"/>
              <w:rPr>
                <w:rStyle w:val="Hyperlink"/>
                <w:sz w:val="18"/>
                <w:szCs w:val="18"/>
              </w:rPr>
            </w:pPr>
            <w:hyperlink r:id="rId166" w:history="1">
              <w:r w:rsidR="006A4710">
                <w:rPr>
                  <w:rStyle w:val="Hyperlink"/>
                  <w:sz w:val="18"/>
                  <w:szCs w:val="18"/>
                </w:rPr>
                <w:t>Northern Perth Basin GDEs</w:t>
              </w:r>
            </w:hyperlink>
          </w:p>
          <w:p w14:paraId="31C8BF68" w14:textId="77777777" w:rsidR="000B2251" w:rsidRDefault="00085933" w:rsidP="000B2251">
            <w:pPr>
              <w:cnfStyle w:val="000000100000" w:firstRow="0" w:lastRow="0" w:firstColumn="0" w:lastColumn="0" w:oddVBand="0" w:evenVBand="0" w:oddHBand="1" w:evenHBand="0" w:firstRowFirstColumn="0" w:firstRowLastColumn="0" w:lastRowFirstColumn="0" w:lastRowLastColumn="0"/>
              <w:rPr>
                <w:sz w:val="18"/>
                <w:szCs w:val="18"/>
              </w:rPr>
            </w:pPr>
            <w:hyperlink r:id="rId167" w:history="1">
              <w:r w:rsidR="000B2251">
                <w:rPr>
                  <w:rStyle w:val="Hyperlink"/>
                  <w:sz w:val="18"/>
                  <w:szCs w:val="18"/>
                </w:rPr>
                <w:t>Groundwater Data</w:t>
              </w:r>
            </w:hyperlink>
          </w:p>
        </w:tc>
      </w:tr>
      <w:tr w:rsidR="00C4397D" w:rsidRPr="00834B45" w14:paraId="31C8BF6D" w14:textId="77777777" w:rsidTr="00A02AB0">
        <w:trPr>
          <w:jc w:val="center"/>
        </w:trPr>
        <w:tc>
          <w:tcPr>
            <w:cnfStyle w:val="001000000000" w:firstRow="0" w:lastRow="0" w:firstColumn="1" w:lastColumn="0" w:oddVBand="0" w:evenVBand="0" w:oddHBand="0" w:evenHBand="0" w:firstRowFirstColumn="0" w:firstRowLastColumn="0" w:lastRowFirstColumn="0" w:lastRowLastColumn="0"/>
            <w:tcW w:w="2009" w:type="dxa"/>
          </w:tcPr>
          <w:p w14:paraId="31C8BF6A" w14:textId="77777777" w:rsidR="00C4397D" w:rsidRPr="00834B45" w:rsidRDefault="00C4397D" w:rsidP="00B81366">
            <w:pPr>
              <w:rPr>
                <w:sz w:val="18"/>
                <w:szCs w:val="18"/>
              </w:rPr>
            </w:pPr>
            <w:r>
              <w:rPr>
                <w:sz w:val="18"/>
                <w:szCs w:val="18"/>
              </w:rPr>
              <w:t>Northern Territory</w:t>
            </w:r>
          </w:p>
        </w:tc>
        <w:tc>
          <w:tcPr>
            <w:tcW w:w="5529" w:type="dxa"/>
          </w:tcPr>
          <w:p w14:paraId="31C8BF6B" w14:textId="77777777" w:rsidR="00C4397D" w:rsidRDefault="00085933" w:rsidP="006A4710">
            <w:pPr>
              <w:cnfStyle w:val="000000000000" w:firstRow="0" w:lastRow="0" w:firstColumn="0" w:lastColumn="0" w:oddVBand="0" w:evenVBand="0" w:oddHBand="0" w:evenHBand="0" w:firstRowFirstColumn="0" w:firstRowLastColumn="0" w:lastRowFirstColumn="0" w:lastRowLastColumn="0"/>
              <w:rPr>
                <w:sz w:val="18"/>
                <w:szCs w:val="18"/>
              </w:rPr>
            </w:pPr>
            <w:hyperlink r:id="rId168" w:history="1">
              <w:r w:rsidR="00C4397D">
                <w:rPr>
                  <w:rStyle w:val="Hyperlink"/>
                  <w:sz w:val="18"/>
                  <w:szCs w:val="18"/>
                </w:rPr>
                <w:t>Berry Springs GDEs</w:t>
              </w:r>
            </w:hyperlink>
          </w:p>
          <w:p w14:paraId="31C8BF6C" w14:textId="77777777" w:rsidR="00C4397D" w:rsidRPr="00663E98" w:rsidRDefault="00085933" w:rsidP="001653C7">
            <w:pPr>
              <w:cnfStyle w:val="000000000000" w:firstRow="0" w:lastRow="0" w:firstColumn="0" w:lastColumn="0" w:oddVBand="0" w:evenVBand="0" w:oddHBand="0" w:evenHBand="0" w:firstRowFirstColumn="0" w:firstRowLastColumn="0" w:lastRowFirstColumn="0" w:lastRowLastColumn="0"/>
              <w:rPr>
                <w:sz w:val="18"/>
                <w:szCs w:val="18"/>
              </w:rPr>
            </w:pPr>
            <w:hyperlink r:id="rId169" w:history="1">
              <w:r w:rsidR="00C4397D">
                <w:rPr>
                  <w:rStyle w:val="Hyperlink"/>
                  <w:sz w:val="18"/>
                  <w:szCs w:val="18"/>
                </w:rPr>
                <w:t>Daly Basin GDEs</w:t>
              </w:r>
            </w:hyperlink>
          </w:p>
        </w:tc>
      </w:tr>
      <w:tr w:rsidR="001653C7" w:rsidRPr="00834B45" w14:paraId="31C8BF73" w14:textId="77777777" w:rsidTr="00A02A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dxa"/>
          </w:tcPr>
          <w:p w14:paraId="31C8BF6E" w14:textId="77777777" w:rsidR="001653C7" w:rsidRDefault="001653C7" w:rsidP="00B81366">
            <w:pPr>
              <w:rPr>
                <w:sz w:val="18"/>
                <w:szCs w:val="18"/>
              </w:rPr>
            </w:pPr>
            <w:r>
              <w:rPr>
                <w:sz w:val="18"/>
                <w:szCs w:val="18"/>
              </w:rPr>
              <w:t>Tasmania</w:t>
            </w:r>
          </w:p>
        </w:tc>
        <w:tc>
          <w:tcPr>
            <w:tcW w:w="5529" w:type="dxa"/>
          </w:tcPr>
          <w:p w14:paraId="31C8BF6F" w14:textId="77777777" w:rsidR="001653C7" w:rsidRDefault="00085933" w:rsidP="006A4710">
            <w:pPr>
              <w:cnfStyle w:val="000000100000" w:firstRow="0" w:lastRow="0" w:firstColumn="0" w:lastColumn="0" w:oddVBand="0" w:evenVBand="0" w:oddHBand="1" w:evenHBand="0" w:firstRowFirstColumn="0" w:firstRowLastColumn="0" w:lastRowFirstColumn="0" w:lastRowLastColumn="0"/>
              <w:rPr>
                <w:sz w:val="18"/>
                <w:szCs w:val="18"/>
              </w:rPr>
            </w:pPr>
            <w:hyperlink r:id="rId170" w:history="1">
              <w:r w:rsidR="001653C7">
                <w:rPr>
                  <w:rStyle w:val="Hyperlink"/>
                  <w:sz w:val="18"/>
                  <w:szCs w:val="18"/>
                </w:rPr>
                <w:t>Tasmania GDEs</w:t>
              </w:r>
            </w:hyperlink>
          </w:p>
          <w:p w14:paraId="31C8BF70" w14:textId="77777777" w:rsidR="001653C7" w:rsidRDefault="00085933" w:rsidP="006A4710">
            <w:pPr>
              <w:cnfStyle w:val="000000100000" w:firstRow="0" w:lastRow="0" w:firstColumn="0" w:lastColumn="0" w:oddVBand="0" w:evenVBand="0" w:oddHBand="1" w:evenHBand="0" w:firstRowFirstColumn="0" w:firstRowLastColumn="0" w:lastRowFirstColumn="0" w:lastRowLastColumn="0"/>
              <w:rPr>
                <w:sz w:val="18"/>
                <w:szCs w:val="18"/>
              </w:rPr>
            </w:pPr>
            <w:hyperlink r:id="rId171" w:history="1">
              <w:r w:rsidR="001653C7">
                <w:rPr>
                  <w:rStyle w:val="Hyperlink"/>
                  <w:sz w:val="18"/>
                  <w:szCs w:val="18"/>
                </w:rPr>
                <w:t>Karst GDEs</w:t>
              </w:r>
            </w:hyperlink>
          </w:p>
          <w:p w14:paraId="31C8BF71" w14:textId="77777777" w:rsidR="001653C7" w:rsidRDefault="00085933" w:rsidP="006A4710">
            <w:pPr>
              <w:cnfStyle w:val="000000100000" w:firstRow="0" w:lastRow="0" w:firstColumn="0" w:lastColumn="0" w:oddVBand="0" w:evenVBand="0" w:oddHBand="1" w:evenHBand="0" w:firstRowFirstColumn="0" w:firstRowLastColumn="0" w:lastRowFirstColumn="0" w:lastRowLastColumn="0"/>
              <w:rPr>
                <w:sz w:val="18"/>
                <w:szCs w:val="18"/>
              </w:rPr>
            </w:pPr>
            <w:hyperlink r:id="rId172" w:history="1">
              <w:r w:rsidR="001653C7">
                <w:rPr>
                  <w:rStyle w:val="Hyperlink"/>
                  <w:sz w:val="18"/>
                  <w:szCs w:val="18"/>
                </w:rPr>
                <w:t>Groundwater-Surface Water connectivity</w:t>
              </w:r>
            </w:hyperlink>
          </w:p>
          <w:p w14:paraId="31C8BF72" w14:textId="77777777" w:rsidR="001653C7" w:rsidRDefault="00085933" w:rsidP="001653C7">
            <w:pPr>
              <w:cnfStyle w:val="000000100000" w:firstRow="0" w:lastRow="0" w:firstColumn="0" w:lastColumn="0" w:oddVBand="0" w:evenVBand="0" w:oddHBand="1" w:evenHBand="0" w:firstRowFirstColumn="0" w:firstRowLastColumn="0" w:lastRowFirstColumn="0" w:lastRowLastColumn="0"/>
              <w:rPr>
                <w:sz w:val="18"/>
                <w:szCs w:val="18"/>
              </w:rPr>
            </w:pPr>
            <w:hyperlink r:id="rId173" w:history="1">
              <w:r w:rsidR="001653C7">
                <w:rPr>
                  <w:rStyle w:val="Hyperlink"/>
                  <w:sz w:val="18"/>
                  <w:szCs w:val="18"/>
                </w:rPr>
                <w:t>Freshwater Ecosystems Values Framework</w:t>
              </w:r>
            </w:hyperlink>
          </w:p>
        </w:tc>
      </w:tr>
    </w:tbl>
    <w:p w14:paraId="31C8BF74" w14:textId="77777777" w:rsidR="00956D0A" w:rsidRDefault="002F7A2B" w:rsidP="0000258D">
      <w:pPr>
        <w:pStyle w:val="Heading9"/>
      </w:pPr>
      <w:bookmarkStart w:id="104" w:name="_Toc509996508"/>
      <w:r>
        <w:lastRenderedPageBreak/>
        <w:t>V</w:t>
      </w:r>
      <w:r w:rsidR="00956D0A">
        <w:t xml:space="preserve">egetation </w:t>
      </w:r>
      <w:r w:rsidR="00565151">
        <w:t xml:space="preserve">species </w:t>
      </w:r>
      <w:r w:rsidR="00956D0A">
        <w:t>that are likely to be GDEs</w:t>
      </w:r>
      <w:bookmarkEnd w:id="104"/>
    </w:p>
    <w:p w14:paraId="31C8BF75" w14:textId="77777777" w:rsidR="00130947" w:rsidRDefault="00BB1DD0" w:rsidP="00130947">
      <w:pPr>
        <w:pStyle w:val="Caption"/>
      </w:pPr>
      <w:bookmarkStart w:id="105" w:name="_Ref507708672"/>
      <w:bookmarkStart w:id="106" w:name="_Toc509991057"/>
      <w:r>
        <w:t>App</w:t>
      </w:r>
      <w:r w:rsidR="00130947" w:rsidRPr="00130947">
        <w:t xml:space="preserve"> Table </w:t>
      </w:r>
      <w:r w:rsidR="00085933">
        <w:fldChar w:fldCharType="begin"/>
      </w:r>
      <w:r w:rsidR="00085933">
        <w:instrText xml:space="preserve"> SEQ Apx_Table \* ARABIC </w:instrText>
      </w:r>
      <w:r w:rsidR="00085933">
        <w:fldChar w:fldCharType="separate"/>
      </w:r>
      <w:r w:rsidR="00E96B43">
        <w:rPr>
          <w:noProof/>
        </w:rPr>
        <w:t>5</w:t>
      </w:r>
      <w:r w:rsidR="00085933">
        <w:rPr>
          <w:noProof/>
        </w:rPr>
        <w:fldChar w:fldCharType="end"/>
      </w:r>
      <w:bookmarkEnd w:id="105"/>
      <w:r w:rsidR="00130947">
        <w:t>.</w:t>
      </w:r>
      <w:r w:rsidR="00130947" w:rsidRPr="00130947">
        <w:t xml:space="preserve"> Vegetation species that in Australia have been shown to access groundwater. The depth to </w:t>
      </w:r>
      <w:proofErr w:type="spellStart"/>
      <w:r w:rsidR="00AB6B3E">
        <w:t>watertable</w:t>
      </w:r>
      <w:proofErr w:type="spellEnd"/>
      <w:r w:rsidR="00130947" w:rsidRPr="00130947">
        <w:t xml:space="preserve"> (WT) range has been summarised across studies and locations. Information sourced from A – Orellana et al., 2011; B – Sommer and </w:t>
      </w:r>
      <w:proofErr w:type="spellStart"/>
      <w:r w:rsidR="00130947" w:rsidRPr="00130947">
        <w:t>Froend</w:t>
      </w:r>
      <w:proofErr w:type="spellEnd"/>
      <w:r w:rsidR="00130947" w:rsidRPr="00130947">
        <w:t>, 2010; C- DPI (2006); D- Wetland Info (</w:t>
      </w:r>
      <w:proofErr w:type="spellStart"/>
      <w:r w:rsidR="00085933">
        <w:fldChar w:fldCharType="begin"/>
      </w:r>
      <w:r w:rsidR="00085933">
        <w:instrText xml:space="preserve"> HYPERLINK "https://wetlandinfo.ehp.qld.gov.au/wetlands/facts-maps/gde-background/gde-faq/gde-map-rules/" </w:instrText>
      </w:r>
      <w:r w:rsidR="00085933">
        <w:fldChar w:fldCharType="separate"/>
      </w:r>
      <w:r w:rsidR="001D709D">
        <w:rPr>
          <w:rStyle w:val="Hyperlink"/>
          <w:color w:val="auto"/>
        </w:rPr>
        <w:t>WetlandInfo</w:t>
      </w:r>
      <w:proofErr w:type="spellEnd"/>
      <w:r w:rsidR="00085933">
        <w:rPr>
          <w:rStyle w:val="Hyperlink"/>
          <w:color w:val="auto"/>
        </w:rPr>
        <w:fldChar w:fldCharType="end"/>
      </w:r>
      <w:r w:rsidR="00130947" w:rsidRPr="00130947">
        <w:t>)</w:t>
      </w:r>
      <w:r w:rsidR="001D709D">
        <w:t xml:space="preserve">; E – </w:t>
      </w:r>
      <w:proofErr w:type="spellStart"/>
      <w:r w:rsidR="001D709D">
        <w:t>Froend</w:t>
      </w:r>
      <w:proofErr w:type="spellEnd"/>
      <w:r w:rsidR="001D709D">
        <w:t xml:space="preserve"> and Drake (2006)</w:t>
      </w:r>
      <w:bookmarkEnd w:id="106"/>
    </w:p>
    <w:tbl>
      <w:tblPr>
        <w:tblStyle w:val="TableCSIRO"/>
        <w:tblW w:w="8818" w:type="dxa"/>
        <w:jc w:val="center"/>
        <w:tblInd w:w="0" w:type="dxa"/>
        <w:tblLook w:val="04A0" w:firstRow="1" w:lastRow="0" w:firstColumn="1" w:lastColumn="0" w:noHBand="0" w:noVBand="1"/>
      </w:tblPr>
      <w:tblGrid>
        <w:gridCol w:w="2155"/>
        <w:gridCol w:w="993"/>
        <w:gridCol w:w="1275"/>
        <w:gridCol w:w="2235"/>
        <w:gridCol w:w="1026"/>
        <w:gridCol w:w="1134"/>
      </w:tblGrid>
      <w:tr w:rsidR="00356206" w:rsidRPr="00D345A9" w14:paraId="31C8BF7E" w14:textId="77777777" w:rsidTr="00B701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76" w14:textId="77777777" w:rsidR="00356206" w:rsidRPr="00D345A9" w:rsidRDefault="00356206" w:rsidP="00B701BB">
            <w:pPr>
              <w:spacing w:after="0"/>
              <w:rPr>
                <w:rFonts w:eastAsia="Times New Roman"/>
                <w:color w:val="FFFFFF" w:themeColor="background1"/>
                <w:sz w:val="18"/>
                <w:szCs w:val="18"/>
              </w:rPr>
            </w:pPr>
            <w:r w:rsidRPr="00D345A9">
              <w:rPr>
                <w:rFonts w:eastAsia="Times New Roman"/>
                <w:color w:val="FFFFFF" w:themeColor="background1"/>
                <w:sz w:val="18"/>
                <w:szCs w:val="18"/>
              </w:rPr>
              <w:t>Species</w:t>
            </w:r>
          </w:p>
        </w:tc>
        <w:tc>
          <w:tcPr>
            <w:tcW w:w="993" w:type="dxa"/>
          </w:tcPr>
          <w:p w14:paraId="31C8BF77" w14:textId="77777777" w:rsidR="00356206" w:rsidRPr="00D345A9" w:rsidRDefault="00356206" w:rsidP="00B701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Pr>
                <w:rFonts w:eastAsia="Times New Roman"/>
                <w:color w:val="FFFFFF" w:themeColor="background1"/>
                <w:sz w:val="18"/>
                <w:szCs w:val="18"/>
              </w:rPr>
              <w:t>WT Depth</w:t>
            </w:r>
          </w:p>
          <w:p w14:paraId="31C8BF78" w14:textId="77777777" w:rsidR="00356206" w:rsidRPr="00D345A9" w:rsidRDefault="00356206" w:rsidP="00B701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D345A9">
              <w:rPr>
                <w:rFonts w:eastAsia="Times New Roman"/>
                <w:color w:val="FFFFFF" w:themeColor="background1"/>
                <w:sz w:val="18"/>
                <w:szCs w:val="18"/>
              </w:rPr>
              <w:t>(m)</w:t>
            </w:r>
          </w:p>
        </w:tc>
        <w:tc>
          <w:tcPr>
            <w:tcW w:w="1275" w:type="dxa"/>
          </w:tcPr>
          <w:p w14:paraId="31C8BF79" w14:textId="77777777" w:rsidR="00356206" w:rsidRPr="00D345A9" w:rsidRDefault="00356206" w:rsidP="00B701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D345A9">
              <w:rPr>
                <w:rFonts w:eastAsia="Times New Roman"/>
                <w:color w:val="FFFFFF" w:themeColor="background1"/>
                <w:sz w:val="18"/>
                <w:szCs w:val="18"/>
              </w:rPr>
              <w:t>Source</w:t>
            </w:r>
          </w:p>
        </w:tc>
        <w:tc>
          <w:tcPr>
            <w:tcW w:w="2235" w:type="dxa"/>
          </w:tcPr>
          <w:p w14:paraId="31C8BF7A" w14:textId="77777777" w:rsidR="00356206" w:rsidRPr="00D345A9" w:rsidRDefault="00356206" w:rsidP="00B701BB">
            <w:pPr>
              <w:spacing w:after="0"/>
              <w:cnfStyle w:val="100000000000" w:firstRow="1" w:lastRow="0" w:firstColumn="0" w:lastColumn="0" w:oddVBand="0" w:evenVBand="0" w:oddHBand="0" w:evenHBand="0" w:firstRowFirstColumn="0" w:firstRowLastColumn="0" w:lastRowFirstColumn="0" w:lastRowLastColumn="0"/>
              <w:rPr>
                <w:rFonts w:eastAsia="Times New Roman"/>
                <w:color w:val="31849B"/>
                <w:sz w:val="18"/>
                <w:szCs w:val="18"/>
              </w:rPr>
            </w:pPr>
            <w:r w:rsidRPr="00D345A9">
              <w:rPr>
                <w:rFonts w:eastAsia="Times New Roman"/>
                <w:color w:val="FFFFFF" w:themeColor="background1"/>
                <w:sz w:val="18"/>
                <w:szCs w:val="18"/>
              </w:rPr>
              <w:t>Species</w:t>
            </w:r>
          </w:p>
        </w:tc>
        <w:tc>
          <w:tcPr>
            <w:tcW w:w="1026" w:type="dxa"/>
          </w:tcPr>
          <w:p w14:paraId="31C8BF7B" w14:textId="77777777" w:rsidR="00356206" w:rsidRDefault="00356206" w:rsidP="00B701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Pr>
                <w:rFonts w:eastAsia="Times New Roman"/>
                <w:color w:val="FFFFFF" w:themeColor="background1"/>
                <w:sz w:val="18"/>
                <w:szCs w:val="18"/>
              </w:rPr>
              <w:t>WT Depth</w:t>
            </w:r>
          </w:p>
          <w:p w14:paraId="31C8BF7C" w14:textId="77777777" w:rsidR="00356206" w:rsidRPr="00D345A9" w:rsidRDefault="00356206" w:rsidP="00B701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31849B"/>
                <w:sz w:val="18"/>
                <w:szCs w:val="18"/>
              </w:rPr>
            </w:pPr>
            <w:r>
              <w:rPr>
                <w:rFonts w:eastAsia="Times New Roman"/>
                <w:color w:val="FFFFFF" w:themeColor="background1"/>
                <w:sz w:val="18"/>
                <w:szCs w:val="18"/>
              </w:rPr>
              <w:t>(m)</w:t>
            </w:r>
          </w:p>
        </w:tc>
        <w:tc>
          <w:tcPr>
            <w:tcW w:w="1134" w:type="dxa"/>
          </w:tcPr>
          <w:p w14:paraId="31C8BF7D" w14:textId="77777777" w:rsidR="00356206" w:rsidRPr="00D345A9" w:rsidRDefault="00356206" w:rsidP="00B701B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31849B"/>
                <w:sz w:val="18"/>
                <w:szCs w:val="18"/>
              </w:rPr>
            </w:pPr>
            <w:r w:rsidRPr="00D345A9">
              <w:rPr>
                <w:rFonts w:eastAsia="Times New Roman"/>
                <w:color w:val="FFFFFF" w:themeColor="background1"/>
                <w:sz w:val="18"/>
                <w:szCs w:val="18"/>
              </w:rPr>
              <w:t>Source</w:t>
            </w:r>
          </w:p>
        </w:tc>
      </w:tr>
      <w:tr w:rsidR="00356206" w:rsidRPr="00BA5C80" w14:paraId="31C8BF85"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7F" w14:textId="77777777" w:rsidR="00356206" w:rsidRPr="00D345A9" w:rsidRDefault="00356206" w:rsidP="00356206">
            <w:pPr>
              <w:spacing w:after="0"/>
              <w:rPr>
                <w:rFonts w:eastAsia="Times New Roman"/>
                <w:b w:val="0"/>
                <w:i/>
                <w:color w:val="000000" w:themeColor="text1"/>
                <w:sz w:val="18"/>
                <w:szCs w:val="18"/>
              </w:rPr>
            </w:pPr>
            <w:r>
              <w:rPr>
                <w:b w:val="0"/>
                <w:i/>
                <w:color w:val="000000" w:themeColor="text1"/>
                <w:sz w:val="18"/>
                <w:szCs w:val="18"/>
              </w:rPr>
              <w:t xml:space="preserve">Acacia </w:t>
            </w:r>
            <w:proofErr w:type="spellStart"/>
            <w:r>
              <w:rPr>
                <w:b w:val="0"/>
                <w:i/>
                <w:color w:val="000000" w:themeColor="text1"/>
                <w:sz w:val="18"/>
                <w:szCs w:val="18"/>
              </w:rPr>
              <w:t>harophylla</w:t>
            </w:r>
            <w:proofErr w:type="spellEnd"/>
          </w:p>
        </w:tc>
        <w:tc>
          <w:tcPr>
            <w:tcW w:w="993" w:type="dxa"/>
          </w:tcPr>
          <w:p w14:paraId="31C8BF80"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Pr>
                <w:rFonts w:eastAsia="Times New Roman"/>
                <w:color w:val="000000" w:themeColor="text1"/>
                <w:sz w:val="18"/>
                <w:szCs w:val="18"/>
              </w:rPr>
              <w:t>-</w:t>
            </w:r>
          </w:p>
        </w:tc>
        <w:tc>
          <w:tcPr>
            <w:tcW w:w="1275" w:type="dxa"/>
          </w:tcPr>
          <w:p w14:paraId="31C8BF81"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Pr>
                <w:color w:val="000000" w:themeColor="text1"/>
                <w:sz w:val="18"/>
                <w:szCs w:val="18"/>
              </w:rPr>
              <w:t>D</w:t>
            </w:r>
          </w:p>
        </w:tc>
        <w:tc>
          <w:tcPr>
            <w:tcW w:w="2235" w:type="dxa"/>
          </w:tcPr>
          <w:p w14:paraId="31C8BF82" w14:textId="77777777" w:rsidR="00356206" w:rsidRPr="00AD780B" w:rsidRDefault="00356206" w:rsidP="0035620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AD780B">
              <w:rPr>
                <w:i/>
                <w:color w:val="000000" w:themeColor="text1"/>
                <w:sz w:val="18"/>
                <w:szCs w:val="18"/>
              </w:rPr>
              <w:t xml:space="preserve">Eucalyptus </w:t>
            </w:r>
            <w:proofErr w:type="spellStart"/>
            <w:r w:rsidRPr="00AD780B">
              <w:rPr>
                <w:i/>
                <w:color w:val="000000" w:themeColor="text1"/>
                <w:sz w:val="18"/>
                <w:szCs w:val="18"/>
              </w:rPr>
              <w:t>largiflorens</w:t>
            </w:r>
            <w:proofErr w:type="spellEnd"/>
          </w:p>
        </w:tc>
        <w:tc>
          <w:tcPr>
            <w:tcW w:w="1026" w:type="dxa"/>
          </w:tcPr>
          <w:p w14:paraId="31C8BF83"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D345A9">
              <w:rPr>
                <w:color w:val="000000" w:themeColor="text1"/>
                <w:sz w:val="18"/>
                <w:szCs w:val="18"/>
              </w:rPr>
              <w:t>2-5</w:t>
            </w:r>
          </w:p>
        </w:tc>
        <w:tc>
          <w:tcPr>
            <w:tcW w:w="1134" w:type="dxa"/>
          </w:tcPr>
          <w:p w14:paraId="31C8BF84"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716C45">
              <w:rPr>
                <w:color w:val="000000" w:themeColor="text1"/>
                <w:sz w:val="18"/>
                <w:szCs w:val="18"/>
              </w:rPr>
              <w:t>A</w:t>
            </w:r>
          </w:p>
        </w:tc>
      </w:tr>
      <w:tr w:rsidR="00356206" w:rsidRPr="00BA5C80" w14:paraId="31C8BF8C"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86" w14:textId="77777777" w:rsidR="00356206" w:rsidRPr="00D345A9" w:rsidRDefault="00356206" w:rsidP="00356206">
            <w:pPr>
              <w:spacing w:after="0"/>
              <w:rPr>
                <w:rFonts w:eastAsia="Times New Roman"/>
                <w:b w:val="0"/>
                <w:i/>
                <w:color w:val="000000" w:themeColor="text1"/>
                <w:sz w:val="18"/>
                <w:szCs w:val="18"/>
              </w:rPr>
            </w:pPr>
            <w:r w:rsidRPr="00D345A9">
              <w:rPr>
                <w:b w:val="0"/>
                <w:i/>
                <w:color w:val="000000" w:themeColor="text1"/>
                <w:sz w:val="18"/>
                <w:szCs w:val="18"/>
              </w:rPr>
              <w:t xml:space="preserve">Acacia </w:t>
            </w:r>
            <w:proofErr w:type="spellStart"/>
            <w:r w:rsidRPr="00D345A9">
              <w:rPr>
                <w:b w:val="0"/>
                <w:i/>
                <w:color w:val="000000" w:themeColor="text1"/>
                <w:sz w:val="18"/>
                <w:szCs w:val="18"/>
              </w:rPr>
              <w:t>stenophylla</w:t>
            </w:r>
            <w:proofErr w:type="spellEnd"/>
          </w:p>
        </w:tc>
        <w:tc>
          <w:tcPr>
            <w:tcW w:w="993" w:type="dxa"/>
          </w:tcPr>
          <w:p w14:paraId="31C8BF87"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D345A9">
              <w:rPr>
                <w:color w:val="000000" w:themeColor="text1"/>
                <w:sz w:val="18"/>
                <w:szCs w:val="18"/>
              </w:rPr>
              <w:t>3-4</w:t>
            </w:r>
          </w:p>
        </w:tc>
        <w:tc>
          <w:tcPr>
            <w:tcW w:w="1275" w:type="dxa"/>
          </w:tcPr>
          <w:p w14:paraId="31C8BF88"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Pr>
                <w:color w:val="000000" w:themeColor="text1"/>
                <w:sz w:val="18"/>
                <w:szCs w:val="18"/>
              </w:rPr>
              <w:t>A</w:t>
            </w:r>
          </w:p>
        </w:tc>
        <w:tc>
          <w:tcPr>
            <w:tcW w:w="2235" w:type="dxa"/>
          </w:tcPr>
          <w:p w14:paraId="31C8BF89" w14:textId="77777777" w:rsidR="00356206" w:rsidRPr="00AD780B" w:rsidRDefault="00356206" w:rsidP="0035620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longirostrata</w:t>
            </w:r>
            <w:proofErr w:type="spellEnd"/>
          </w:p>
        </w:tc>
        <w:tc>
          <w:tcPr>
            <w:tcW w:w="1026" w:type="dxa"/>
          </w:tcPr>
          <w:p w14:paraId="31C8BF8A"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w:t>
            </w:r>
          </w:p>
        </w:tc>
        <w:tc>
          <w:tcPr>
            <w:tcW w:w="1134" w:type="dxa"/>
          </w:tcPr>
          <w:p w14:paraId="31C8BF8B"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D</w:t>
            </w:r>
          </w:p>
        </w:tc>
      </w:tr>
      <w:tr w:rsidR="00356206" w:rsidRPr="00BA5C80" w14:paraId="31C8BF93"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8D" w14:textId="77777777" w:rsidR="00356206" w:rsidRPr="00D345A9" w:rsidRDefault="00356206" w:rsidP="00356206">
            <w:pPr>
              <w:spacing w:after="0"/>
              <w:rPr>
                <w:rFonts w:eastAsia="Times New Roman"/>
                <w:b w:val="0"/>
                <w:i/>
                <w:color w:val="000000" w:themeColor="text1"/>
                <w:sz w:val="18"/>
                <w:szCs w:val="18"/>
              </w:rPr>
            </w:pPr>
            <w:r w:rsidRPr="00D345A9">
              <w:rPr>
                <w:b w:val="0"/>
                <w:i/>
                <w:color w:val="000000" w:themeColor="text1"/>
                <w:sz w:val="18"/>
                <w:szCs w:val="18"/>
              </w:rPr>
              <w:t xml:space="preserve">Angophora </w:t>
            </w:r>
            <w:proofErr w:type="spellStart"/>
            <w:r w:rsidRPr="00D345A9">
              <w:rPr>
                <w:b w:val="0"/>
                <w:i/>
                <w:color w:val="000000" w:themeColor="text1"/>
                <w:sz w:val="18"/>
                <w:szCs w:val="18"/>
              </w:rPr>
              <w:t>bakeri</w:t>
            </w:r>
            <w:proofErr w:type="spellEnd"/>
          </w:p>
        </w:tc>
        <w:tc>
          <w:tcPr>
            <w:tcW w:w="993" w:type="dxa"/>
          </w:tcPr>
          <w:p w14:paraId="31C8BF8E"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Pr>
                <w:rFonts w:eastAsia="Times New Roman"/>
                <w:color w:val="000000" w:themeColor="text1"/>
                <w:sz w:val="18"/>
                <w:szCs w:val="18"/>
              </w:rPr>
              <w:t>-</w:t>
            </w:r>
          </w:p>
        </w:tc>
        <w:tc>
          <w:tcPr>
            <w:tcW w:w="1275" w:type="dxa"/>
          </w:tcPr>
          <w:p w14:paraId="31C8BF8F"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7D043B">
              <w:rPr>
                <w:color w:val="000000" w:themeColor="text1"/>
                <w:sz w:val="18"/>
                <w:szCs w:val="18"/>
              </w:rPr>
              <w:t>A</w:t>
            </w:r>
          </w:p>
        </w:tc>
        <w:tc>
          <w:tcPr>
            <w:tcW w:w="2235" w:type="dxa"/>
          </w:tcPr>
          <w:p w14:paraId="31C8BF90"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marginata</w:t>
            </w:r>
            <w:proofErr w:type="spellEnd"/>
          </w:p>
        </w:tc>
        <w:tc>
          <w:tcPr>
            <w:tcW w:w="1026" w:type="dxa"/>
          </w:tcPr>
          <w:p w14:paraId="31C8BF91"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6-&gt;30</w:t>
            </w:r>
          </w:p>
        </w:tc>
        <w:tc>
          <w:tcPr>
            <w:tcW w:w="1134" w:type="dxa"/>
          </w:tcPr>
          <w:p w14:paraId="31C8BF92"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A</w:t>
            </w:r>
          </w:p>
        </w:tc>
      </w:tr>
      <w:tr w:rsidR="00356206" w:rsidRPr="00BA5C80" w14:paraId="31C8BF9A"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94" w14:textId="77777777" w:rsidR="00356206" w:rsidRPr="00D345A9" w:rsidRDefault="00356206" w:rsidP="00356206">
            <w:pPr>
              <w:spacing w:after="0"/>
              <w:rPr>
                <w:rFonts w:eastAsia="Times New Roman"/>
                <w:b w:val="0"/>
                <w:i/>
                <w:color w:val="000000" w:themeColor="text1"/>
                <w:sz w:val="18"/>
                <w:szCs w:val="18"/>
              </w:rPr>
            </w:pPr>
            <w:r>
              <w:rPr>
                <w:b w:val="0"/>
                <w:i/>
                <w:color w:val="000000" w:themeColor="text1"/>
                <w:sz w:val="18"/>
                <w:szCs w:val="18"/>
              </w:rPr>
              <w:t>Angophora floribunda</w:t>
            </w:r>
          </w:p>
        </w:tc>
        <w:tc>
          <w:tcPr>
            <w:tcW w:w="993" w:type="dxa"/>
          </w:tcPr>
          <w:p w14:paraId="31C8BF95"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Pr>
                <w:rFonts w:eastAsia="Times New Roman"/>
                <w:color w:val="000000" w:themeColor="text1"/>
                <w:sz w:val="18"/>
                <w:szCs w:val="18"/>
              </w:rPr>
              <w:t>-</w:t>
            </w:r>
          </w:p>
        </w:tc>
        <w:tc>
          <w:tcPr>
            <w:tcW w:w="1275" w:type="dxa"/>
          </w:tcPr>
          <w:p w14:paraId="31C8BF96"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Pr>
                <w:color w:val="000000" w:themeColor="text1"/>
                <w:sz w:val="18"/>
                <w:szCs w:val="18"/>
              </w:rPr>
              <w:t>D</w:t>
            </w:r>
          </w:p>
        </w:tc>
        <w:tc>
          <w:tcPr>
            <w:tcW w:w="2235" w:type="dxa"/>
          </w:tcPr>
          <w:p w14:paraId="31C8BF97"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melanop</w:t>
            </w:r>
            <w:r>
              <w:rPr>
                <w:i/>
                <w:color w:val="000000" w:themeColor="text1"/>
                <w:sz w:val="18"/>
                <w:szCs w:val="18"/>
              </w:rPr>
              <w:t>h</w:t>
            </w:r>
            <w:r w:rsidRPr="00BA5C80">
              <w:rPr>
                <w:i/>
                <w:color w:val="000000" w:themeColor="text1"/>
                <w:sz w:val="18"/>
                <w:szCs w:val="18"/>
              </w:rPr>
              <w:t>loia</w:t>
            </w:r>
            <w:proofErr w:type="spellEnd"/>
          </w:p>
        </w:tc>
        <w:tc>
          <w:tcPr>
            <w:tcW w:w="1026" w:type="dxa"/>
          </w:tcPr>
          <w:p w14:paraId="31C8BF98"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w:t>
            </w:r>
          </w:p>
        </w:tc>
        <w:tc>
          <w:tcPr>
            <w:tcW w:w="1134" w:type="dxa"/>
          </w:tcPr>
          <w:p w14:paraId="31C8BF99"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D</w:t>
            </w:r>
          </w:p>
        </w:tc>
      </w:tr>
      <w:tr w:rsidR="00356206" w:rsidRPr="00BA5C80" w14:paraId="31C8BFA1"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9B" w14:textId="77777777" w:rsidR="00356206" w:rsidRPr="00D345A9" w:rsidRDefault="00356206" w:rsidP="00356206">
            <w:pPr>
              <w:spacing w:after="0"/>
              <w:rPr>
                <w:i/>
                <w:color w:val="000000" w:themeColor="text1"/>
                <w:sz w:val="18"/>
                <w:szCs w:val="18"/>
              </w:rPr>
            </w:pPr>
            <w:r>
              <w:rPr>
                <w:b w:val="0"/>
                <w:i/>
                <w:color w:val="000000" w:themeColor="text1"/>
                <w:sz w:val="18"/>
                <w:szCs w:val="18"/>
              </w:rPr>
              <w:t xml:space="preserve">Angophora </w:t>
            </w:r>
            <w:proofErr w:type="spellStart"/>
            <w:r>
              <w:rPr>
                <w:b w:val="0"/>
                <w:i/>
                <w:color w:val="000000" w:themeColor="text1"/>
                <w:sz w:val="18"/>
                <w:szCs w:val="18"/>
              </w:rPr>
              <w:t>leiocarpa</w:t>
            </w:r>
            <w:proofErr w:type="spellEnd"/>
          </w:p>
        </w:tc>
        <w:tc>
          <w:tcPr>
            <w:tcW w:w="993" w:type="dxa"/>
          </w:tcPr>
          <w:p w14:paraId="31C8BF9C"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BF9D" w14:textId="77777777" w:rsidR="00356206" w:rsidRPr="007D043B"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D</w:t>
            </w:r>
          </w:p>
        </w:tc>
        <w:tc>
          <w:tcPr>
            <w:tcW w:w="2235" w:type="dxa"/>
          </w:tcPr>
          <w:p w14:paraId="31C8BF9E" w14:textId="77777777" w:rsidR="00356206" w:rsidRPr="00BA5C80" w:rsidRDefault="00223C2A" w:rsidP="00356206">
            <w:pPr>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Eucalyptus </w:t>
            </w:r>
            <w:proofErr w:type="spellStart"/>
            <w:r>
              <w:rPr>
                <w:i/>
                <w:color w:val="000000" w:themeColor="text1"/>
                <w:sz w:val="18"/>
                <w:szCs w:val="18"/>
              </w:rPr>
              <w:t>microtheca</w:t>
            </w:r>
            <w:proofErr w:type="spellEnd"/>
          </w:p>
        </w:tc>
        <w:tc>
          <w:tcPr>
            <w:tcW w:w="1026" w:type="dxa"/>
          </w:tcPr>
          <w:p w14:paraId="31C8BF9F"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w:t>
            </w:r>
          </w:p>
        </w:tc>
        <w:tc>
          <w:tcPr>
            <w:tcW w:w="1134" w:type="dxa"/>
          </w:tcPr>
          <w:p w14:paraId="31C8BFA0"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D</w:t>
            </w:r>
          </w:p>
        </w:tc>
      </w:tr>
      <w:tr w:rsidR="00356206" w:rsidRPr="00BA5C80" w14:paraId="31C8BFA8"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A2" w14:textId="77777777" w:rsidR="00356206" w:rsidRPr="00D345A9" w:rsidRDefault="00356206" w:rsidP="00356206">
            <w:pPr>
              <w:spacing w:after="0"/>
              <w:rPr>
                <w:i/>
                <w:color w:val="000000" w:themeColor="text1"/>
                <w:sz w:val="18"/>
                <w:szCs w:val="18"/>
              </w:rPr>
            </w:pPr>
            <w:proofErr w:type="spellStart"/>
            <w:r w:rsidRPr="00D345A9">
              <w:rPr>
                <w:b w:val="0"/>
                <w:i/>
                <w:color w:val="000000" w:themeColor="text1"/>
                <w:sz w:val="18"/>
                <w:szCs w:val="18"/>
              </w:rPr>
              <w:t>Astartea</w:t>
            </w:r>
            <w:proofErr w:type="spellEnd"/>
            <w:r w:rsidRPr="00D345A9">
              <w:rPr>
                <w:b w:val="0"/>
                <w:i/>
                <w:color w:val="000000" w:themeColor="text1"/>
                <w:sz w:val="18"/>
                <w:szCs w:val="18"/>
              </w:rPr>
              <w:t xml:space="preserve"> </w:t>
            </w:r>
            <w:proofErr w:type="spellStart"/>
            <w:r w:rsidRPr="00D345A9">
              <w:rPr>
                <w:b w:val="0"/>
                <w:i/>
                <w:color w:val="000000" w:themeColor="text1"/>
                <w:sz w:val="18"/>
                <w:szCs w:val="18"/>
              </w:rPr>
              <w:t>fascicularis</w:t>
            </w:r>
            <w:proofErr w:type="spellEnd"/>
          </w:p>
        </w:tc>
        <w:tc>
          <w:tcPr>
            <w:tcW w:w="993" w:type="dxa"/>
          </w:tcPr>
          <w:p w14:paraId="31C8BFA3"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345A9">
              <w:rPr>
                <w:color w:val="000000" w:themeColor="text1"/>
                <w:sz w:val="18"/>
                <w:szCs w:val="18"/>
              </w:rPr>
              <w:t>&lt;6.43</w:t>
            </w:r>
          </w:p>
        </w:tc>
        <w:tc>
          <w:tcPr>
            <w:tcW w:w="1275" w:type="dxa"/>
          </w:tcPr>
          <w:p w14:paraId="31C8BFA4" w14:textId="77777777" w:rsidR="00356206" w:rsidRPr="007D043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D043B">
              <w:rPr>
                <w:color w:val="000000" w:themeColor="text1"/>
                <w:sz w:val="18"/>
                <w:szCs w:val="18"/>
              </w:rPr>
              <w:t>A</w:t>
            </w:r>
          </w:p>
        </w:tc>
        <w:tc>
          <w:tcPr>
            <w:tcW w:w="2235" w:type="dxa"/>
          </w:tcPr>
          <w:p w14:paraId="31C8BFA5"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pa</w:t>
            </w:r>
            <w:r>
              <w:rPr>
                <w:i/>
                <w:color w:val="000000" w:themeColor="text1"/>
                <w:sz w:val="18"/>
                <w:szCs w:val="18"/>
              </w:rPr>
              <w:t>r</w:t>
            </w:r>
            <w:r w:rsidRPr="00BA5C80">
              <w:rPr>
                <w:i/>
                <w:color w:val="000000" w:themeColor="text1"/>
                <w:sz w:val="18"/>
                <w:szCs w:val="18"/>
              </w:rPr>
              <w:t>ram</w:t>
            </w:r>
            <w:r>
              <w:rPr>
                <w:i/>
                <w:color w:val="000000" w:themeColor="text1"/>
                <w:sz w:val="18"/>
                <w:szCs w:val="18"/>
              </w:rPr>
              <w:t>a</w:t>
            </w:r>
            <w:r w:rsidRPr="00BA5C80">
              <w:rPr>
                <w:i/>
                <w:color w:val="000000" w:themeColor="text1"/>
                <w:sz w:val="18"/>
                <w:szCs w:val="18"/>
              </w:rPr>
              <w:t>ttensis</w:t>
            </w:r>
            <w:proofErr w:type="spellEnd"/>
          </w:p>
        </w:tc>
        <w:tc>
          <w:tcPr>
            <w:tcW w:w="1026" w:type="dxa"/>
          </w:tcPr>
          <w:p w14:paraId="31C8BFA6"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w:t>
            </w:r>
          </w:p>
        </w:tc>
        <w:tc>
          <w:tcPr>
            <w:tcW w:w="1134" w:type="dxa"/>
          </w:tcPr>
          <w:p w14:paraId="31C8BFA7"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A</w:t>
            </w:r>
          </w:p>
        </w:tc>
      </w:tr>
      <w:tr w:rsidR="00356206" w:rsidRPr="00BA5C80" w14:paraId="31C8BFAF"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A9" w14:textId="77777777" w:rsidR="00356206" w:rsidRPr="00D345A9" w:rsidRDefault="00356206" w:rsidP="00356206">
            <w:pPr>
              <w:spacing w:after="0"/>
              <w:rPr>
                <w:i/>
                <w:color w:val="000000" w:themeColor="text1"/>
                <w:sz w:val="18"/>
                <w:szCs w:val="18"/>
              </w:rPr>
            </w:pPr>
            <w:r>
              <w:rPr>
                <w:b w:val="0"/>
                <w:i/>
                <w:color w:val="000000" w:themeColor="text1"/>
                <w:sz w:val="18"/>
                <w:szCs w:val="18"/>
              </w:rPr>
              <w:t xml:space="preserve">Banksia </w:t>
            </w:r>
            <w:proofErr w:type="spellStart"/>
            <w:r>
              <w:rPr>
                <w:b w:val="0"/>
                <w:i/>
                <w:color w:val="000000" w:themeColor="text1"/>
                <w:sz w:val="18"/>
                <w:szCs w:val="18"/>
              </w:rPr>
              <w:t>aemula</w:t>
            </w:r>
            <w:proofErr w:type="spellEnd"/>
          </w:p>
        </w:tc>
        <w:tc>
          <w:tcPr>
            <w:tcW w:w="993" w:type="dxa"/>
          </w:tcPr>
          <w:p w14:paraId="31C8BFAA"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rFonts w:eastAsia="Times New Roman"/>
                <w:color w:val="000000" w:themeColor="text1"/>
                <w:sz w:val="18"/>
                <w:szCs w:val="18"/>
              </w:rPr>
              <w:t>-</w:t>
            </w:r>
          </w:p>
        </w:tc>
        <w:tc>
          <w:tcPr>
            <w:tcW w:w="1275" w:type="dxa"/>
          </w:tcPr>
          <w:p w14:paraId="31C8BFAB" w14:textId="77777777" w:rsidR="00356206" w:rsidRPr="007D043B"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D</w:t>
            </w:r>
          </w:p>
        </w:tc>
        <w:tc>
          <w:tcPr>
            <w:tcW w:w="2235" w:type="dxa"/>
          </w:tcPr>
          <w:p w14:paraId="31C8BFAC"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platyphylla</w:t>
            </w:r>
            <w:proofErr w:type="spellEnd"/>
          </w:p>
        </w:tc>
        <w:tc>
          <w:tcPr>
            <w:tcW w:w="1026" w:type="dxa"/>
          </w:tcPr>
          <w:p w14:paraId="31C8BFAD"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10</w:t>
            </w:r>
          </w:p>
        </w:tc>
        <w:tc>
          <w:tcPr>
            <w:tcW w:w="1134" w:type="dxa"/>
          </w:tcPr>
          <w:p w14:paraId="31C8BFAE"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A</w:t>
            </w:r>
          </w:p>
        </w:tc>
      </w:tr>
      <w:tr w:rsidR="00356206" w:rsidRPr="00BA5C80" w14:paraId="31C8BFB6"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B0" w14:textId="77777777" w:rsidR="00356206" w:rsidRPr="00D345A9" w:rsidRDefault="00356206" w:rsidP="00356206">
            <w:pPr>
              <w:spacing w:after="0"/>
              <w:rPr>
                <w:i/>
                <w:color w:val="000000" w:themeColor="text1"/>
                <w:sz w:val="18"/>
                <w:szCs w:val="18"/>
              </w:rPr>
            </w:pPr>
            <w:r w:rsidRPr="00D345A9">
              <w:rPr>
                <w:b w:val="0"/>
                <w:i/>
                <w:color w:val="000000" w:themeColor="text1"/>
                <w:sz w:val="18"/>
                <w:szCs w:val="18"/>
              </w:rPr>
              <w:t xml:space="preserve">Banksia </w:t>
            </w:r>
            <w:proofErr w:type="spellStart"/>
            <w:r w:rsidRPr="00D345A9">
              <w:rPr>
                <w:b w:val="0"/>
                <w:i/>
                <w:color w:val="000000" w:themeColor="text1"/>
                <w:sz w:val="18"/>
                <w:szCs w:val="18"/>
              </w:rPr>
              <w:t>attenuata</w:t>
            </w:r>
            <w:proofErr w:type="spellEnd"/>
          </w:p>
        </w:tc>
        <w:tc>
          <w:tcPr>
            <w:tcW w:w="993" w:type="dxa"/>
          </w:tcPr>
          <w:p w14:paraId="31C8BFB1"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345A9">
              <w:rPr>
                <w:color w:val="000000" w:themeColor="text1"/>
                <w:sz w:val="18"/>
                <w:szCs w:val="18"/>
              </w:rPr>
              <w:t>2.5-30</w:t>
            </w:r>
          </w:p>
        </w:tc>
        <w:tc>
          <w:tcPr>
            <w:tcW w:w="1275" w:type="dxa"/>
          </w:tcPr>
          <w:p w14:paraId="31C8BFB2" w14:textId="77777777" w:rsidR="00356206" w:rsidRPr="007D043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7D043B">
              <w:rPr>
                <w:color w:val="000000" w:themeColor="text1"/>
                <w:sz w:val="18"/>
                <w:szCs w:val="18"/>
              </w:rPr>
              <w:t>A</w:t>
            </w:r>
          </w:p>
        </w:tc>
        <w:tc>
          <w:tcPr>
            <w:tcW w:w="2235" w:type="dxa"/>
          </w:tcPr>
          <w:p w14:paraId="31C8BFB3"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robusta</w:t>
            </w:r>
            <w:proofErr w:type="spellEnd"/>
          </w:p>
        </w:tc>
        <w:tc>
          <w:tcPr>
            <w:tcW w:w="1026" w:type="dxa"/>
          </w:tcPr>
          <w:p w14:paraId="31C8BFB4"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w:t>
            </w:r>
          </w:p>
        </w:tc>
        <w:tc>
          <w:tcPr>
            <w:tcW w:w="1134" w:type="dxa"/>
          </w:tcPr>
          <w:p w14:paraId="31C8BFB5"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rFonts w:eastAsia="Times New Roman"/>
                <w:color w:val="000000" w:themeColor="text1"/>
                <w:sz w:val="18"/>
                <w:szCs w:val="18"/>
              </w:rPr>
              <w:t>C</w:t>
            </w:r>
          </w:p>
        </w:tc>
      </w:tr>
      <w:tr w:rsidR="00356206" w:rsidRPr="00BA5C80" w14:paraId="31C8BFBD"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B7" w14:textId="77777777" w:rsidR="00356206" w:rsidRPr="00D345A9" w:rsidRDefault="00356206" w:rsidP="00356206">
            <w:pPr>
              <w:spacing w:after="0"/>
              <w:rPr>
                <w:rFonts w:eastAsia="Times New Roman"/>
                <w:b w:val="0"/>
                <w:i/>
                <w:color w:val="000000" w:themeColor="text1"/>
                <w:sz w:val="18"/>
                <w:szCs w:val="18"/>
              </w:rPr>
            </w:pPr>
            <w:r>
              <w:rPr>
                <w:rFonts w:eastAsia="Times New Roman"/>
                <w:b w:val="0"/>
                <w:i/>
                <w:color w:val="000000" w:themeColor="text1"/>
                <w:sz w:val="18"/>
                <w:szCs w:val="18"/>
              </w:rPr>
              <w:t xml:space="preserve">Banksia </w:t>
            </w:r>
            <w:proofErr w:type="spellStart"/>
            <w:r>
              <w:rPr>
                <w:rFonts w:eastAsia="Times New Roman"/>
                <w:b w:val="0"/>
                <w:i/>
                <w:color w:val="000000" w:themeColor="text1"/>
                <w:sz w:val="18"/>
                <w:szCs w:val="18"/>
              </w:rPr>
              <w:t>ericifolia</w:t>
            </w:r>
            <w:proofErr w:type="spellEnd"/>
          </w:p>
        </w:tc>
        <w:tc>
          <w:tcPr>
            <w:tcW w:w="993" w:type="dxa"/>
          </w:tcPr>
          <w:p w14:paraId="31C8BFB8"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Pr>
                <w:rFonts w:eastAsia="Times New Roman"/>
                <w:color w:val="000000" w:themeColor="text1"/>
                <w:sz w:val="18"/>
                <w:szCs w:val="18"/>
              </w:rPr>
              <w:t>-</w:t>
            </w:r>
          </w:p>
        </w:tc>
        <w:tc>
          <w:tcPr>
            <w:tcW w:w="1275" w:type="dxa"/>
          </w:tcPr>
          <w:p w14:paraId="31C8BFB9"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Pr>
                <w:rFonts w:eastAsia="Times New Roman"/>
                <w:color w:val="000000" w:themeColor="text1"/>
                <w:sz w:val="18"/>
                <w:szCs w:val="18"/>
              </w:rPr>
              <w:t>D</w:t>
            </w:r>
          </w:p>
        </w:tc>
        <w:tc>
          <w:tcPr>
            <w:tcW w:w="2235" w:type="dxa"/>
          </w:tcPr>
          <w:p w14:paraId="31C8BFBA"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p>
        </w:tc>
        <w:tc>
          <w:tcPr>
            <w:tcW w:w="1026" w:type="dxa"/>
          </w:tcPr>
          <w:p w14:paraId="31C8BFBB"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p>
        </w:tc>
        <w:tc>
          <w:tcPr>
            <w:tcW w:w="1134" w:type="dxa"/>
          </w:tcPr>
          <w:p w14:paraId="31C8BFBC"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p>
        </w:tc>
      </w:tr>
      <w:tr w:rsidR="00356206" w:rsidRPr="00BA5C80" w14:paraId="31C8BFC4"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BE" w14:textId="77777777" w:rsidR="00356206" w:rsidRDefault="00356206" w:rsidP="00356206">
            <w:pPr>
              <w:spacing w:after="0"/>
              <w:rPr>
                <w:rFonts w:eastAsia="Times New Roman"/>
                <w:b w:val="0"/>
                <w:i/>
                <w:color w:val="000000" w:themeColor="text1"/>
                <w:sz w:val="18"/>
                <w:szCs w:val="18"/>
              </w:rPr>
            </w:pPr>
            <w:r w:rsidRPr="00D345A9">
              <w:rPr>
                <w:b w:val="0"/>
                <w:i/>
                <w:color w:val="000000" w:themeColor="text1"/>
                <w:sz w:val="18"/>
                <w:szCs w:val="18"/>
              </w:rPr>
              <w:t xml:space="preserve">Banksia </w:t>
            </w:r>
            <w:proofErr w:type="spellStart"/>
            <w:r w:rsidRPr="00D345A9">
              <w:rPr>
                <w:b w:val="0"/>
                <w:i/>
                <w:color w:val="000000" w:themeColor="text1"/>
                <w:sz w:val="18"/>
                <w:szCs w:val="18"/>
              </w:rPr>
              <w:t>ilicifolia</w:t>
            </w:r>
            <w:proofErr w:type="spellEnd"/>
          </w:p>
        </w:tc>
        <w:tc>
          <w:tcPr>
            <w:tcW w:w="993" w:type="dxa"/>
          </w:tcPr>
          <w:p w14:paraId="31C8BFBF" w14:textId="77777777" w:rsidR="00356206"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D345A9">
              <w:rPr>
                <w:color w:val="000000" w:themeColor="text1"/>
                <w:sz w:val="18"/>
                <w:szCs w:val="18"/>
              </w:rPr>
              <w:t>2.5-30</w:t>
            </w:r>
          </w:p>
        </w:tc>
        <w:tc>
          <w:tcPr>
            <w:tcW w:w="1275" w:type="dxa"/>
          </w:tcPr>
          <w:p w14:paraId="31C8BFC0" w14:textId="77777777" w:rsidR="00356206"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7D043B">
              <w:rPr>
                <w:color w:val="000000" w:themeColor="text1"/>
                <w:sz w:val="18"/>
                <w:szCs w:val="18"/>
              </w:rPr>
              <w:t>A</w:t>
            </w:r>
          </w:p>
        </w:tc>
        <w:tc>
          <w:tcPr>
            <w:tcW w:w="2235" w:type="dxa"/>
          </w:tcPr>
          <w:p w14:paraId="31C8BFC1"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rudis</w:t>
            </w:r>
            <w:proofErr w:type="spellEnd"/>
          </w:p>
        </w:tc>
        <w:tc>
          <w:tcPr>
            <w:tcW w:w="1026" w:type="dxa"/>
          </w:tcPr>
          <w:p w14:paraId="31C8BFC2"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&lt;11.7</w:t>
            </w:r>
          </w:p>
        </w:tc>
        <w:tc>
          <w:tcPr>
            <w:tcW w:w="1134" w:type="dxa"/>
          </w:tcPr>
          <w:p w14:paraId="31C8BFC3"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B</w:t>
            </w:r>
          </w:p>
        </w:tc>
      </w:tr>
      <w:tr w:rsidR="00356206" w:rsidRPr="00BA5C80" w14:paraId="31C8BFCB"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C5" w14:textId="77777777" w:rsidR="00356206" w:rsidRPr="00D345A9" w:rsidRDefault="00356206" w:rsidP="00356206">
            <w:pPr>
              <w:spacing w:after="0"/>
              <w:rPr>
                <w:rFonts w:eastAsia="Times New Roman"/>
                <w:b w:val="0"/>
                <w:i/>
                <w:color w:val="000000" w:themeColor="text1"/>
                <w:sz w:val="18"/>
                <w:szCs w:val="18"/>
              </w:rPr>
            </w:pPr>
            <w:r w:rsidRPr="00D345A9">
              <w:rPr>
                <w:b w:val="0"/>
                <w:i/>
                <w:color w:val="000000" w:themeColor="text1"/>
                <w:sz w:val="18"/>
                <w:szCs w:val="18"/>
              </w:rPr>
              <w:t xml:space="preserve">Banksia </w:t>
            </w:r>
            <w:proofErr w:type="spellStart"/>
            <w:r w:rsidRPr="00D345A9">
              <w:rPr>
                <w:b w:val="0"/>
                <w:i/>
                <w:color w:val="000000" w:themeColor="text1"/>
                <w:sz w:val="18"/>
                <w:szCs w:val="18"/>
              </w:rPr>
              <w:t>littoralis</w:t>
            </w:r>
            <w:proofErr w:type="spellEnd"/>
          </w:p>
        </w:tc>
        <w:tc>
          <w:tcPr>
            <w:tcW w:w="993" w:type="dxa"/>
          </w:tcPr>
          <w:p w14:paraId="31C8BFC6"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D345A9">
              <w:rPr>
                <w:color w:val="000000" w:themeColor="text1"/>
                <w:sz w:val="18"/>
                <w:szCs w:val="18"/>
              </w:rPr>
              <w:t>&lt;6.27</w:t>
            </w:r>
          </w:p>
        </w:tc>
        <w:tc>
          <w:tcPr>
            <w:tcW w:w="1275" w:type="dxa"/>
          </w:tcPr>
          <w:p w14:paraId="31C8BFC7"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Pr>
                <w:color w:val="000000" w:themeColor="text1"/>
                <w:sz w:val="18"/>
                <w:szCs w:val="18"/>
              </w:rPr>
              <w:t>B</w:t>
            </w:r>
          </w:p>
        </w:tc>
        <w:tc>
          <w:tcPr>
            <w:tcW w:w="2235" w:type="dxa"/>
          </w:tcPr>
          <w:p w14:paraId="31C8BFC8"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saligna</w:t>
            </w:r>
            <w:proofErr w:type="spellEnd"/>
          </w:p>
        </w:tc>
        <w:tc>
          <w:tcPr>
            <w:tcW w:w="1026" w:type="dxa"/>
          </w:tcPr>
          <w:p w14:paraId="31C8BFC9"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w:t>
            </w:r>
          </w:p>
        </w:tc>
        <w:tc>
          <w:tcPr>
            <w:tcW w:w="1134" w:type="dxa"/>
          </w:tcPr>
          <w:p w14:paraId="31C8BFCA"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D</w:t>
            </w:r>
          </w:p>
        </w:tc>
      </w:tr>
      <w:tr w:rsidR="00356206" w:rsidRPr="00BA5C80" w14:paraId="31C8BFD2"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CC" w14:textId="77777777" w:rsidR="00356206" w:rsidRPr="00D345A9" w:rsidRDefault="00356206" w:rsidP="00356206">
            <w:pPr>
              <w:spacing w:after="0"/>
              <w:rPr>
                <w:b w:val="0"/>
                <w:i/>
                <w:color w:val="000000" w:themeColor="text1"/>
                <w:sz w:val="18"/>
                <w:szCs w:val="18"/>
              </w:rPr>
            </w:pPr>
            <w:r>
              <w:rPr>
                <w:b w:val="0"/>
                <w:bCs w:val="0"/>
                <w:i/>
                <w:color w:val="000000" w:themeColor="text1"/>
                <w:sz w:val="18"/>
                <w:szCs w:val="18"/>
              </w:rPr>
              <w:t xml:space="preserve">Banksia </w:t>
            </w:r>
            <w:proofErr w:type="spellStart"/>
            <w:r>
              <w:rPr>
                <w:b w:val="0"/>
                <w:bCs w:val="0"/>
                <w:i/>
                <w:color w:val="000000" w:themeColor="text1"/>
                <w:sz w:val="18"/>
                <w:szCs w:val="18"/>
              </w:rPr>
              <w:t>menziesii</w:t>
            </w:r>
            <w:proofErr w:type="spellEnd"/>
          </w:p>
        </w:tc>
        <w:tc>
          <w:tcPr>
            <w:tcW w:w="993" w:type="dxa"/>
          </w:tcPr>
          <w:p w14:paraId="31C8BFCD"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275" w:type="dxa"/>
          </w:tcPr>
          <w:p w14:paraId="31C8BFCE" w14:textId="77777777" w:rsidR="00356206" w:rsidRPr="007D043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E</w:t>
            </w:r>
          </w:p>
        </w:tc>
        <w:tc>
          <w:tcPr>
            <w:tcW w:w="2235" w:type="dxa"/>
          </w:tcPr>
          <w:p w14:paraId="31C8BFCF" w14:textId="77777777" w:rsidR="00356206" w:rsidRPr="00BA5C80" w:rsidRDefault="00356206" w:rsidP="00223C2A">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te</w:t>
            </w:r>
            <w:r w:rsidR="00223C2A">
              <w:rPr>
                <w:i/>
                <w:color w:val="000000" w:themeColor="text1"/>
                <w:sz w:val="18"/>
                <w:szCs w:val="18"/>
              </w:rPr>
              <w:t>re</w:t>
            </w:r>
            <w:r w:rsidRPr="00BA5C80">
              <w:rPr>
                <w:i/>
                <w:color w:val="000000" w:themeColor="text1"/>
                <w:sz w:val="18"/>
                <w:szCs w:val="18"/>
              </w:rPr>
              <w:t>ticornis</w:t>
            </w:r>
            <w:proofErr w:type="spellEnd"/>
          </w:p>
        </w:tc>
        <w:tc>
          <w:tcPr>
            <w:tcW w:w="1026" w:type="dxa"/>
          </w:tcPr>
          <w:p w14:paraId="31C8BFD0"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w:t>
            </w:r>
          </w:p>
        </w:tc>
        <w:tc>
          <w:tcPr>
            <w:tcW w:w="1134" w:type="dxa"/>
          </w:tcPr>
          <w:p w14:paraId="31C8BFD1"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D</w:t>
            </w:r>
          </w:p>
        </w:tc>
      </w:tr>
      <w:tr w:rsidR="00356206" w:rsidRPr="00BA5C80" w14:paraId="31C8BFD9"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D3" w14:textId="77777777" w:rsidR="00356206" w:rsidRPr="00D345A9" w:rsidRDefault="00356206" w:rsidP="00356206">
            <w:pPr>
              <w:spacing w:after="0"/>
              <w:rPr>
                <w:rFonts w:eastAsia="Times New Roman"/>
                <w:b w:val="0"/>
                <w:i/>
                <w:color w:val="000000" w:themeColor="text1"/>
                <w:sz w:val="18"/>
                <w:szCs w:val="18"/>
              </w:rPr>
            </w:pPr>
            <w:r>
              <w:rPr>
                <w:b w:val="0"/>
                <w:bCs w:val="0"/>
                <w:i/>
                <w:color w:val="000000" w:themeColor="text1"/>
                <w:sz w:val="18"/>
                <w:szCs w:val="18"/>
              </w:rPr>
              <w:t xml:space="preserve">Banksia </w:t>
            </w:r>
            <w:proofErr w:type="spellStart"/>
            <w:r>
              <w:rPr>
                <w:b w:val="0"/>
                <w:bCs w:val="0"/>
                <w:i/>
                <w:color w:val="000000" w:themeColor="text1"/>
                <w:sz w:val="18"/>
                <w:szCs w:val="18"/>
              </w:rPr>
              <w:t>oblongifolia</w:t>
            </w:r>
            <w:proofErr w:type="spellEnd"/>
          </w:p>
        </w:tc>
        <w:tc>
          <w:tcPr>
            <w:tcW w:w="993" w:type="dxa"/>
          </w:tcPr>
          <w:p w14:paraId="31C8BFD4"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BFD5"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D</w:t>
            </w:r>
          </w:p>
        </w:tc>
        <w:tc>
          <w:tcPr>
            <w:tcW w:w="2235" w:type="dxa"/>
          </w:tcPr>
          <w:p w14:paraId="31C8BFD6"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i/>
                <w:color w:val="000000" w:themeColor="text1"/>
                <w:sz w:val="18"/>
                <w:szCs w:val="18"/>
              </w:rPr>
              <w:t xml:space="preserve">Eucalyptus </w:t>
            </w:r>
            <w:proofErr w:type="spellStart"/>
            <w:r w:rsidRPr="00BA5C80">
              <w:rPr>
                <w:i/>
                <w:color w:val="000000" w:themeColor="text1"/>
                <w:sz w:val="18"/>
                <w:szCs w:val="18"/>
              </w:rPr>
              <w:t>vi</w:t>
            </w:r>
            <w:r w:rsidR="00223C2A">
              <w:rPr>
                <w:i/>
                <w:color w:val="000000" w:themeColor="text1"/>
                <w:sz w:val="18"/>
                <w:szCs w:val="18"/>
              </w:rPr>
              <w:t>c</w:t>
            </w:r>
            <w:r w:rsidRPr="00BA5C80">
              <w:rPr>
                <w:i/>
                <w:color w:val="000000" w:themeColor="text1"/>
                <w:sz w:val="18"/>
                <w:szCs w:val="18"/>
              </w:rPr>
              <w:t>trix</w:t>
            </w:r>
            <w:proofErr w:type="spellEnd"/>
          </w:p>
        </w:tc>
        <w:tc>
          <w:tcPr>
            <w:tcW w:w="1026" w:type="dxa"/>
          </w:tcPr>
          <w:p w14:paraId="31C8BFD7"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w:t>
            </w:r>
          </w:p>
        </w:tc>
        <w:tc>
          <w:tcPr>
            <w:tcW w:w="1134" w:type="dxa"/>
          </w:tcPr>
          <w:p w14:paraId="31C8BFD8"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C</w:t>
            </w:r>
          </w:p>
        </w:tc>
      </w:tr>
      <w:tr w:rsidR="00356206" w:rsidRPr="00BA5C80" w14:paraId="31C8BFE0"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DA" w14:textId="77777777" w:rsidR="00356206" w:rsidRDefault="00223C2A" w:rsidP="00356206">
            <w:pPr>
              <w:spacing w:after="0"/>
              <w:rPr>
                <w:b w:val="0"/>
                <w:bCs w:val="0"/>
                <w:i/>
                <w:color w:val="000000" w:themeColor="text1"/>
                <w:sz w:val="18"/>
                <w:szCs w:val="18"/>
              </w:rPr>
            </w:pPr>
            <w:r>
              <w:rPr>
                <w:rFonts w:eastAsia="Times New Roman"/>
                <w:b w:val="0"/>
                <w:i/>
                <w:color w:val="000000" w:themeColor="text1"/>
                <w:sz w:val="18"/>
                <w:szCs w:val="18"/>
              </w:rPr>
              <w:t xml:space="preserve">Banksia </w:t>
            </w:r>
            <w:proofErr w:type="spellStart"/>
            <w:r>
              <w:rPr>
                <w:rFonts w:eastAsia="Times New Roman"/>
                <w:b w:val="0"/>
                <w:i/>
                <w:color w:val="000000" w:themeColor="text1"/>
                <w:sz w:val="18"/>
                <w:szCs w:val="18"/>
              </w:rPr>
              <w:t>prio</w:t>
            </w:r>
            <w:r w:rsidR="00356206">
              <w:rPr>
                <w:rFonts w:eastAsia="Times New Roman"/>
                <w:b w:val="0"/>
                <w:i/>
                <w:color w:val="000000" w:themeColor="text1"/>
                <w:sz w:val="18"/>
                <w:szCs w:val="18"/>
              </w:rPr>
              <w:t>notes</w:t>
            </w:r>
            <w:proofErr w:type="spellEnd"/>
          </w:p>
        </w:tc>
        <w:tc>
          <w:tcPr>
            <w:tcW w:w="993" w:type="dxa"/>
          </w:tcPr>
          <w:p w14:paraId="31C8BFDB" w14:textId="77777777" w:rsidR="00356206"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BFDC" w14:textId="77777777" w:rsidR="00356206"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w:t>
            </w:r>
          </w:p>
        </w:tc>
        <w:tc>
          <w:tcPr>
            <w:tcW w:w="2235" w:type="dxa"/>
          </w:tcPr>
          <w:p w14:paraId="31C8BFDD"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Hibbertia </w:t>
            </w:r>
            <w:proofErr w:type="spellStart"/>
            <w:r w:rsidRPr="00BA5C80">
              <w:rPr>
                <w:i/>
                <w:color w:val="000000" w:themeColor="text1"/>
                <w:sz w:val="18"/>
                <w:szCs w:val="18"/>
              </w:rPr>
              <w:t>hypericoides</w:t>
            </w:r>
            <w:proofErr w:type="spellEnd"/>
          </w:p>
        </w:tc>
        <w:tc>
          <w:tcPr>
            <w:tcW w:w="1026" w:type="dxa"/>
          </w:tcPr>
          <w:p w14:paraId="31C8BFDE"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2.5-30</w:t>
            </w:r>
          </w:p>
        </w:tc>
        <w:tc>
          <w:tcPr>
            <w:tcW w:w="1134" w:type="dxa"/>
          </w:tcPr>
          <w:p w14:paraId="31C8BFDF"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A</w:t>
            </w:r>
          </w:p>
        </w:tc>
      </w:tr>
      <w:tr w:rsidR="00356206" w:rsidRPr="00BA5C80" w14:paraId="31C8BFE7"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E1" w14:textId="77777777" w:rsidR="00356206" w:rsidRPr="00D345A9" w:rsidRDefault="00356206" w:rsidP="00356206">
            <w:pPr>
              <w:spacing w:after="0"/>
              <w:rPr>
                <w:b w:val="0"/>
                <w:bCs w:val="0"/>
                <w:i/>
                <w:color w:val="000000" w:themeColor="text1"/>
                <w:sz w:val="18"/>
                <w:szCs w:val="18"/>
              </w:rPr>
            </w:pPr>
            <w:r>
              <w:rPr>
                <w:b w:val="0"/>
                <w:bCs w:val="0"/>
                <w:i/>
                <w:color w:val="000000" w:themeColor="text1"/>
                <w:sz w:val="18"/>
                <w:szCs w:val="18"/>
              </w:rPr>
              <w:t xml:space="preserve">Barringtonia </w:t>
            </w:r>
            <w:proofErr w:type="spellStart"/>
            <w:r>
              <w:rPr>
                <w:b w:val="0"/>
                <w:bCs w:val="0"/>
                <w:i/>
                <w:color w:val="000000" w:themeColor="text1"/>
                <w:sz w:val="18"/>
                <w:szCs w:val="18"/>
              </w:rPr>
              <w:t>acutangulata</w:t>
            </w:r>
            <w:proofErr w:type="spellEnd"/>
          </w:p>
        </w:tc>
        <w:tc>
          <w:tcPr>
            <w:tcW w:w="993" w:type="dxa"/>
          </w:tcPr>
          <w:p w14:paraId="31C8BFE2"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BFE3"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C</w:t>
            </w:r>
          </w:p>
        </w:tc>
        <w:tc>
          <w:tcPr>
            <w:tcW w:w="2235" w:type="dxa"/>
          </w:tcPr>
          <w:p w14:paraId="31C8BFE4"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proofErr w:type="spellStart"/>
            <w:r w:rsidRPr="00BA5C80">
              <w:rPr>
                <w:rFonts w:eastAsia="Times New Roman"/>
                <w:i/>
                <w:color w:val="000000" w:themeColor="text1"/>
                <w:sz w:val="18"/>
                <w:szCs w:val="18"/>
              </w:rPr>
              <w:t>Juncus</w:t>
            </w:r>
            <w:proofErr w:type="spellEnd"/>
            <w:r w:rsidRPr="00BA5C80">
              <w:rPr>
                <w:rFonts w:eastAsia="Times New Roman"/>
                <w:i/>
                <w:color w:val="000000" w:themeColor="text1"/>
                <w:sz w:val="18"/>
                <w:szCs w:val="18"/>
              </w:rPr>
              <w:t xml:space="preserve"> </w:t>
            </w:r>
            <w:proofErr w:type="spellStart"/>
            <w:r w:rsidRPr="00BA5C80">
              <w:rPr>
                <w:rFonts w:eastAsia="Times New Roman"/>
                <w:i/>
                <w:color w:val="000000" w:themeColor="text1"/>
                <w:sz w:val="18"/>
                <w:szCs w:val="18"/>
              </w:rPr>
              <w:t>krau</w:t>
            </w:r>
            <w:r>
              <w:rPr>
                <w:rFonts w:eastAsia="Times New Roman"/>
                <w:i/>
                <w:color w:val="000000" w:themeColor="text1"/>
                <w:sz w:val="18"/>
                <w:szCs w:val="18"/>
              </w:rPr>
              <w:t>s</w:t>
            </w:r>
            <w:r w:rsidRPr="00BA5C80">
              <w:rPr>
                <w:rFonts w:eastAsia="Times New Roman"/>
                <w:i/>
                <w:color w:val="000000" w:themeColor="text1"/>
                <w:sz w:val="18"/>
                <w:szCs w:val="18"/>
              </w:rPr>
              <w:t>sii</w:t>
            </w:r>
            <w:proofErr w:type="spellEnd"/>
          </w:p>
        </w:tc>
        <w:tc>
          <w:tcPr>
            <w:tcW w:w="1026" w:type="dxa"/>
          </w:tcPr>
          <w:p w14:paraId="31C8BFE5"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w:t>
            </w:r>
          </w:p>
        </w:tc>
        <w:tc>
          <w:tcPr>
            <w:tcW w:w="1134" w:type="dxa"/>
          </w:tcPr>
          <w:p w14:paraId="31C8BFE6"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D</w:t>
            </w:r>
          </w:p>
        </w:tc>
      </w:tr>
      <w:tr w:rsidR="00356206" w:rsidRPr="00BA5C80" w14:paraId="31C8BFEE"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E8" w14:textId="77777777" w:rsidR="00356206" w:rsidRPr="00D345A9" w:rsidRDefault="00356206" w:rsidP="00356206">
            <w:pPr>
              <w:spacing w:after="0"/>
              <w:rPr>
                <w:b w:val="0"/>
                <w:bCs w:val="0"/>
                <w:i/>
                <w:color w:val="000000" w:themeColor="text1"/>
                <w:sz w:val="18"/>
                <w:szCs w:val="18"/>
              </w:rPr>
            </w:pPr>
            <w:proofErr w:type="spellStart"/>
            <w:r w:rsidRPr="00D345A9">
              <w:rPr>
                <w:b w:val="0"/>
                <w:i/>
                <w:color w:val="000000" w:themeColor="text1"/>
                <w:sz w:val="18"/>
                <w:szCs w:val="18"/>
              </w:rPr>
              <w:t>Baum</w:t>
            </w:r>
            <w:r w:rsidR="00223C2A">
              <w:rPr>
                <w:b w:val="0"/>
                <w:i/>
                <w:color w:val="000000" w:themeColor="text1"/>
                <w:sz w:val="18"/>
                <w:szCs w:val="18"/>
              </w:rPr>
              <w:t>e</w:t>
            </w:r>
            <w:r w:rsidRPr="00D345A9">
              <w:rPr>
                <w:b w:val="0"/>
                <w:i/>
                <w:color w:val="000000" w:themeColor="text1"/>
                <w:sz w:val="18"/>
                <w:szCs w:val="18"/>
              </w:rPr>
              <w:t>a</w:t>
            </w:r>
            <w:proofErr w:type="spellEnd"/>
            <w:r w:rsidRPr="00D345A9">
              <w:rPr>
                <w:b w:val="0"/>
                <w:i/>
                <w:color w:val="000000" w:themeColor="text1"/>
                <w:sz w:val="18"/>
                <w:szCs w:val="18"/>
              </w:rPr>
              <w:t xml:space="preserve"> </w:t>
            </w:r>
            <w:proofErr w:type="spellStart"/>
            <w:r w:rsidRPr="00D345A9">
              <w:rPr>
                <w:b w:val="0"/>
                <w:i/>
                <w:color w:val="000000" w:themeColor="text1"/>
                <w:sz w:val="18"/>
                <w:szCs w:val="18"/>
              </w:rPr>
              <w:t>articulata</w:t>
            </w:r>
            <w:proofErr w:type="spellEnd"/>
          </w:p>
        </w:tc>
        <w:tc>
          <w:tcPr>
            <w:tcW w:w="993" w:type="dxa"/>
          </w:tcPr>
          <w:p w14:paraId="31C8BFE9"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345A9">
              <w:rPr>
                <w:color w:val="000000" w:themeColor="text1"/>
                <w:sz w:val="18"/>
                <w:szCs w:val="18"/>
              </w:rPr>
              <w:t>&lt;1.64</w:t>
            </w:r>
          </w:p>
        </w:tc>
        <w:tc>
          <w:tcPr>
            <w:tcW w:w="1275" w:type="dxa"/>
          </w:tcPr>
          <w:p w14:paraId="31C8BFEA"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B</w:t>
            </w:r>
          </w:p>
        </w:tc>
        <w:tc>
          <w:tcPr>
            <w:tcW w:w="2235" w:type="dxa"/>
          </w:tcPr>
          <w:p w14:paraId="31C8BFEB"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18"/>
                <w:szCs w:val="18"/>
              </w:rPr>
            </w:pPr>
            <w:r w:rsidRPr="00BA5C80">
              <w:rPr>
                <w:rFonts w:eastAsia="Times New Roman"/>
                <w:i/>
                <w:color w:val="000000" w:themeColor="text1"/>
                <w:sz w:val="18"/>
                <w:szCs w:val="18"/>
              </w:rPr>
              <w:t>Leptosper</w:t>
            </w:r>
            <w:r>
              <w:rPr>
                <w:rFonts w:eastAsia="Times New Roman"/>
                <w:i/>
                <w:color w:val="000000" w:themeColor="text1"/>
                <w:sz w:val="18"/>
                <w:szCs w:val="18"/>
              </w:rPr>
              <w:t>m</w:t>
            </w:r>
            <w:r w:rsidRPr="00BA5C80">
              <w:rPr>
                <w:rFonts w:eastAsia="Times New Roman"/>
                <w:i/>
                <w:color w:val="000000" w:themeColor="text1"/>
                <w:sz w:val="18"/>
                <w:szCs w:val="18"/>
              </w:rPr>
              <w:t xml:space="preserve">um </w:t>
            </w:r>
            <w:proofErr w:type="spellStart"/>
            <w:r w:rsidRPr="00BA5C80">
              <w:rPr>
                <w:rFonts w:eastAsia="Times New Roman"/>
                <w:i/>
                <w:color w:val="000000" w:themeColor="text1"/>
                <w:sz w:val="18"/>
                <w:szCs w:val="18"/>
              </w:rPr>
              <w:t>juniperinum</w:t>
            </w:r>
            <w:proofErr w:type="spellEnd"/>
          </w:p>
        </w:tc>
        <w:tc>
          <w:tcPr>
            <w:tcW w:w="1026" w:type="dxa"/>
          </w:tcPr>
          <w:p w14:paraId="31C8BFEC"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rFonts w:eastAsia="Times New Roman"/>
                <w:i/>
                <w:color w:val="000000" w:themeColor="text1"/>
                <w:sz w:val="18"/>
                <w:szCs w:val="18"/>
              </w:rPr>
              <w:t>-</w:t>
            </w:r>
          </w:p>
        </w:tc>
        <w:tc>
          <w:tcPr>
            <w:tcW w:w="1134" w:type="dxa"/>
          </w:tcPr>
          <w:p w14:paraId="31C8BFED"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D</w:t>
            </w:r>
          </w:p>
        </w:tc>
      </w:tr>
      <w:tr w:rsidR="00356206" w:rsidRPr="00BA5C80" w14:paraId="31C8BFF5"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EF" w14:textId="77777777" w:rsidR="00356206" w:rsidRPr="00D345A9" w:rsidRDefault="00356206" w:rsidP="00356206">
            <w:pPr>
              <w:spacing w:after="0"/>
              <w:rPr>
                <w:b w:val="0"/>
                <w:bCs w:val="0"/>
                <w:i/>
                <w:color w:val="000000" w:themeColor="text1"/>
                <w:sz w:val="18"/>
                <w:szCs w:val="18"/>
              </w:rPr>
            </w:pPr>
            <w:proofErr w:type="spellStart"/>
            <w:r>
              <w:rPr>
                <w:b w:val="0"/>
                <w:bCs w:val="0"/>
                <w:i/>
                <w:color w:val="000000" w:themeColor="text1"/>
                <w:sz w:val="18"/>
                <w:szCs w:val="18"/>
              </w:rPr>
              <w:t>Baumea</w:t>
            </w:r>
            <w:proofErr w:type="spellEnd"/>
            <w:r>
              <w:rPr>
                <w:b w:val="0"/>
                <w:bCs w:val="0"/>
                <w:i/>
                <w:color w:val="000000" w:themeColor="text1"/>
                <w:sz w:val="18"/>
                <w:szCs w:val="18"/>
              </w:rPr>
              <w:t xml:space="preserve"> </w:t>
            </w:r>
            <w:proofErr w:type="spellStart"/>
            <w:r>
              <w:rPr>
                <w:b w:val="0"/>
                <w:bCs w:val="0"/>
                <w:i/>
                <w:color w:val="000000" w:themeColor="text1"/>
                <w:sz w:val="18"/>
                <w:szCs w:val="18"/>
              </w:rPr>
              <w:t>juncea</w:t>
            </w:r>
            <w:proofErr w:type="spellEnd"/>
          </w:p>
        </w:tc>
        <w:tc>
          <w:tcPr>
            <w:tcW w:w="993" w:type="dxa"/>
          </w:tcPr>
          <w:p w14:paraId="31C8BFF0"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BFF1"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C</w:t>
            </w:r>
          </w:p>
        </w:tc>
        <w:tc>
          <w:tcPr>
            <w:tcW w:w="2235" w:type="dxa"/>
          </w:tcPr>
          <w:p w14:paraId="31C8BFF2"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18"/>
                <w:szCs w:val="18"/>
              </w:rPr>
            </w:pPr>
            <w:r w:rsidRPr="00BA5C80">
              <w:rPr>
                <w:rFonts w:eastAsia="Times New Roman"/>
                <w:i/>
                <w:color w:val="000000" w:themeColor="text1"/>
                <w:sz w:val="18"/>
                <w:szCs w:val="18"/>
              </w:rPr>
              <w:t>Leptosper</w:t>
            </w:r>
            <w:r>
              <w:rPr>
                <w:rFonts w:eastAsia="Times New Roman"/>
                <w:i/>
                <w:color w:val="000000" w:themeColor="text1"/>
                <w:sz w:val="18"/>
                <w:szCs w:val="18"/>
              </w:rPr>
              <w:t>m</w:t>
            </w:r>
            <w:r w:rsidRPr="00BA5C80">
              <w:rPr>
                <w:rFonts w:eastAsia="Times New Roman"/>
                <w:i/>
                <w:color w:val="000000" w:themeColor="text1"/>
                <w:sz w:val="18"/>
                <w:szCs w:val="18"/>
              </w:rPr>
              <w:t xml:space="preserve">um </w:t>
            </w:r>
            <w:proofErr w:type="spellStart"/>
            <w:r w:rsidRPr="00BA5C80">
              <w:rPr>
                <w:rFonts w:eastAsia="Times New Roman"/>
                <w:i/>
                <w:color w:val="000000" w:themeColor="text1"/>
                <w:sz w:val="18"/>
                <w:szCs w:val="18"/>
              </w:rPr>
              <w:t>liversidgei</w:t>
            </w:r>
            <w:proofErr w:type="spellEnd"/>
          </w:p>
        </w:tc>
        <w:tc>
          <w:tcPr>
            <w:tcW w:w="1026" w:type="dxa"/>
          </w:tcPr>
          <w:p w14:paraId="31C8BFF3"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18"/>
                <w:szCs w:val="18"/>
              </w:rPr>
            </w:pPr>
            <w:r w:rsidRPr="00BA5C80">
              <w:rPr>
                <w:rFonts w:eastAsia="Times New Roman"/>
                <w:color w:val="000000" w:themeColor="text1"/>
                <w:sz w:val="18"/>
                <w:szCs w:val="18"/>
              </w:rPr>
              <w:t>-</w:t>
            </w:r>
          </w:p>
        </w:tc>
        <w:tc>
          <w:tcPr>
            <w:tcW w:w="1134" w:type="dxa"/>
          </w:tcPr>
          <w:p w14:paraId="31C8BFF4"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D</w:t>
            </w:r>
          </w:p>
        </w:tc>
      </w:tr>
      <w:tr w:rsidR="00356206" w:rsidRPr="00BA5C80" w14:paraId="31C8BFFC"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F6" w14:textId="77777777" w:rsidR="00356206" w:rsidRPr="00D345A9" w:rsidRDefault="00356206" w:rsidP="00356206">
            <w:pPr>
              <w:spacing w:after="0"/>
              <w:rPr>
                <w:b w:val="0"/>
                <w:i/>
                <w:color w:val="000000" w:themeColor="text1"/>
                <w:sz w:val="18"/>
                <w:szCs w:val="18"/>
              </w:rPr>
            </w:pPr>
            <w:r>
              <w:rPr>
                <w:b w:val="0"/>
                <w:i/>
                <w:color w:val="000000" w:themeColor="text1"/>
                <w:sz w:val="18"/>
                <w:szCs w:val="18"/>
              </w:rPr>
              <w:t xml:space="preserve">Callistemon </w:t>
            </w:r>
            <w:proofErr w:type="spellStart"/>
            <w:r>
              <w:rPr>
                <w:b w:val="0"/>
                <w:i/>
                <w:color w:val="000000" w:themeColor="text1"/>
                <w:sz w:val="18"/>
                <w:szCs w:val="18"/>
              </w:rPr>
              <w:t>viminalis</w:t>
            </w:r>
            <w:proofErr w:type="spellEnd"/>
          </w:p>
        </w:tc>
        <w:tc>
          <w:tcPr>
            <w:tcW w:w="993" w:type="dxa"/>
          </w:tcPr>
          <w:p w14:paraId="31C8BFF7"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BFF8"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D</w:t>
            </w:r>
          </w:p>
        </w:tc>
        <w:tc>
          <w:tcPr>
            <w:tcW w:w="2235" w:type="dxa"/>
          </w:tcPr>
          <w:p w14:paraId="31C8BFF9"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18"/>
                <w:szCs w:val="18"/>
              </w:rPr>
            </w:pPr>
            <w:proofErr w:type="spellStart"/>
            <w:r w:rsidRPr="00BA5C80">
              <w:rPr>
                <w:i/>
                <w:color w:val="000000" w:themeColor="text1"/>
                <w:sz w:val="18"/>
                <w:szCs w:val="18"/>
              </w:rPr>
              <w:t>Lepyrodia</w:t>
            </w:r>
            <w:proofErr w:type="spellEnd"/>
            <w:r w:rsidRPr="00BA5C80">
              <w:rPr>
                <w:i/>
                <w:color w:val="000000" w:themeColor="text1"/>
                <w:sz w:val="18"/>
                <w:szCs w:val="18"/>
              </w:rPr>
              <w:t xml:space="preserve"> </w:t>
            </w:r>
            <w:proofErr w:type="spellStart"/>
            <w:r w:rsidRPr="00BA5C80">
              <w:rPr>
                <w:i/>
                <w:color w:val="000000" w:themeColor="text1"/>
                <w:sz w:val="18"/>
                <w:szCs w:val="18"/>
              </w:rPr>
              <w:t>inte</w:t>
            </w:r>
            <w:r w:rsidR="00223C2A">
              <w:rPr>
                <w:i/>
                <w:color w:val="000000" w:themeColor="text1"/>
                <w:sz w:val="18"/>
                <w:szCs w:val="18"/>
              </w:rPr>
              <w:t>r</w:t>
            </w:r>
            <w:r w:rsidRPr="00BA5C80">
              <w:rPr>
                <w:i/>
                <w:color w:val="000000" w:themeColor="text1"/>
                <w:sz w:val="18"/>
                <w:szCs w:val="18"/>
              </w:rPr>
              <w:t>rupta</w:t>
            </w:r>
            <w:proofErr w:type="spellEnd"/>
          </w:p>
        </w:tc>
        <w:tc>
          <w:tcPr>
            <w:tcW w:w="1026" w:type="dxa"/>
          </w:tcPr>
          <w:p w14:paraId="31C8BFFA"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w:t>
            </w:r>
          </w:p>
        </w:tc>
        <w:tc>
          <w:tcPr>
            <w:tcW w:w="1134" w:type="dxa"/>
          </w:tcPr>
          <w:p w14:paraId="31C8BFFB"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D</w:t>
            </w:r>
          </w:p>
        </w:tc>
      </w:tr>
      <w:tr w:rsidR="00356206" w:rsidRPr="00BA5C80" w14:paraId="31C8C003"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BFFD" w14:textId="77777777" w:rsidR="00356206" w:rsidRPr="00D345A9" w:rsidRDefault="00356206" w:rsidP="00356206">
            <w:pPr>
              <w:spacing w:after="0"/>
              <w:rPr>
                <w:b w:val="0"/>
                <w:i/>
                <w:color w:val="000000" w:themeColor="text1"/>
                <w:sz w:val="18"/>
                <w:szCs w:val="18"/>
              </w:rPr>
            </w:pPr>
            <w:proofErr w:type="spellStart"/>
            <w:r>
              <w:rPr>
                <w:b w:val="0"/>
                <w:i/>
                <w:color w:val="000000" w:themeColor="text1"/>
                <w:sz w:val="18"/>
                <w:szCs w:val="18"/>
              </w:rPr>
              <w:t>Callitris</w:t>
            </w:r>
            <w:proofErr w:type="spellEnd"/>
            <w:r>
              <w:rPr>
                <w:b w:val="0"/>
                <w:i/>
                <w:color w:val="000000" w:themeColor="text1"/>
                <w:sz w:val="18"/>
                <w:szCs w:val="18"/>
              </w:rPr>
              <w:t xml:space="preserve"> </w:t>
            </w:r>
            <w:proofErr w:type="spellStart"/>
            <w:r>
              <w:rPr>
                <w:b w:val="0"/>
                <w:i/>
                <w:color w:val="000000" w:themeColor="text1"/>
                <w:sz w:val="18"/>
                <w:szCs w:val="18"/>
              </w:rPr>
              <w:t>glaucophylla</w:t>
            </w:r>
            <w:proofErr w:type="spellEnd"/>
          </w:p>
        </w:tc>
        <w:tc>
          <w:tcPr>
            <w:tcW w:w="993" w:type="dxa"/>
          </w:tcPr>
          <w:p w14:paraId="31C8BFFE"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BFFF"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D</w:t>
            </w:r>
          </w:p>
        </w:tc>
        <w:tc>
          <w:tcPr>
            <w:tcW w:w="2235" w:type="dxa"/>
          </w:tcPr>
          <w:p w14:paraId="31C8C000"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roofErr w:type="spellStart"/>
            <w:r w:rsidRPr="00BA5C80">
              <w:rPr>
                <w:i/>
                <w:color w:val="000000" w:themeColor="text1"/>
                <w:sz w:val="18"/>
                <w:szCs w:val="18"/>
              </w:rPr>
              <w:t>Livistonia</w:t>
            </w:r>
            <w:proofErr w:type="spellEnd"/>
            <w:r w:rsidRPr="00BA5C80">
              <w:rPr>
                <w:i/>
                <w:color w:val="000000" w:themeColor="text1"/>
                <w:sz w:val="18"/>
                <w:szCs w:val="18"/>
              </w:rPr>
              <w:t xml:space="preserve"> </w:t>
            </w:r>
            <w:proofErr w:type="spellStart"/>
            <w:r w:rsidRPr="00BA5C80">
              <w:rPr>
                <w:i/>
                <w:color w:val="000000" w:themeColor="text1"/>
                <w:sz w:val="18"/>
                <w:szCs w:val="18"/>
              </w:rPr>
              <w:t>lanugino</w:t>
            </w:r>
            <w:r w:rsidR="00223C2A">
              <w:rPr>
                <w:i/>
                <w:color w:val="000000" w:themeColor="text1"/>
                <w:sz w:val="18"/>
                <w:szCs w:val="18"/>
              </w:rPr>
              <w:t>s</w:t>
            </w:r>
            <w:r w:rsidRPr="00BA5C80">
              <w:rPr>
                <w:i/>
                <w:color w:val="000000" w:themeColor="text1"/>
                <w:sz w:val="18"/>
                <w:szCs w:val="18"/>
              </w:rPr>
              <w:t>a</w:t>
            </w:r>
            <w:proofErr w:type="spellEnd"/>
          </w:p>
        </w:tc>
        <w:tc>
          <w:tcPr>
            <w:tcW w:w="1026" w:type="dxa"/>
          </w:tcPr>
          <w:p w14:paraId="31C8C001"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rFonts w:eastAsia="Times New Roman"/>
                <w:color w:val="000000" w:themeColor="text1"/>
                <w:sz w:val="18"/>
                <w:szCs w:val="18"/>
              </w:rPr>
              <w:t>-</w:t>
            </w:r>
          </w:p>
        </w:tc>
        <w:tc>
          <w:tcPr>
            <w:tcW w:w="1134" w:type="dxa"/>
          </w:tcPr>
          <w:p w14:paraId="31C8C002"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D</w:t>
            </w:r>
          </w:p>
        </w:tc>
      </w:tr>
      <w:tr w:rsidR="00356206" w:rsidRPr="00BA5C80" w14:paraId="31C8C00A"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04" w14:textId="77777777" w:rsidR="00356206" w:rsidRPr="00D345A9" w:rsidRDefault="00356206" w:rsidP="00356206">
            <w:pPr>
              <w:spacing w:after="0"/>
              <w:rPr>
                <w:b w:val="0"/>
                <w:bCs w:val="0"/>
                <w:i/>
                <w:color w:val="000000" w:themeColor="text1"/>
                <w:sz w:val="18"/>
                <w:szCs w:val="18"/>
              </w:rPr>
            </w:pPr>
            <w:r>
              <w:rPr>
                <w:b w:val="0"/>
                <w:i/>
                <w:color w:val="000000" w:themeColor="text1"/>
                <w:sz w:val="18"/>
                <w:szCs w:val="18"/>
              </w:rPr>
              <w:t xml:space="preserve">Casuarina </w:t>
            </w:r>
            <w:proofErr w:type="spellStart"/>
            <w:r>
              <w:rPr>
                <w:b w:val="0"/>
                <w:i/>
                <w:color w:val="000000" w:themeColor="text1"/>
                <w:sz w:val="18"/>
                <w:szCs w:val="18"/>
              </w:rPr>
              <w:t>cunninghamiana</w:t>
            </w:r>
            <w:proofErr w:type="spellEnd"/>
          </w:p>
        </w:tc>
        <w:tc>
          <w:tcPr>
            <w:tcW w:w="993" w:type="dxa"/>
          </w:tcPr>
          <w:p w14:paraId="31C8C005"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C006" w14:textId="77777777" w:rsidR="00356206" w:rsidRPr="00BA552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D</w:t>
            </w:r>
          </w:p>
        </w:tc>
        <w:tc>
          <w:tcPr>
            <w:tcW w:w="2235" w:type="dxa"/>
          </w:tcPr>
          <w:p w14:paraId="31C8C007"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18"/>
                <w:szCs w:val="18"/>
              </w:rPr>
            </w:pPr>
            <w:proofErr w:type="spellStart"/>
            <w:r w:rsidRPr="00BA5C80">
              <w:rPr>
                <w:i/>
                <w:color w:val="000000" w:themeColor="text1"/>
                <w:sz w:val="18"/>
                <w:szCs w:val="18"/>
              </w:rPr>
              <w:t>Lophostemon</w:t>
            </w:r>
            <w:proofErr w:type="spellEnd"/>
            <w:r w:rsidRPr="00BA5C80">
              <w:rPr>
                <w:i/>
                <w:color w:val="000000" w:themeColor="text1"/>
                <w:sz w:val="18"/>
                <w:szCs w:val="18"/>
              </w:rPr>
              <w:t xml:space="preserve"> </w:t>
            </w:r>
            <w:proofErr w:type="spellStart"/>
            <w:r w:rsidRPr="00BA5C80">
              <w:rPr>
                <w:i/>
                <w:color w:val="000000" w:themeColor="text1"/>
                <w:sz w:val="18"/>
                <w:szCs w:val="18"/>
              </w:rPr>
              <w:t>suaveolens</w:t>
            </w:r>
            <w:proofErr w:type="spellEnd"/>
          </w:p>
        </w:tc>
        <w:tc>
          <w:tcPr>
            <w:tcW w:w="1026" w:type="dxa"/>
          </w:tcPr>
          <w:p w14:paraId="31C8C008"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10</w:t>
            </w:r>
          </w:p>
        </w:tc>
        <w:tc>
          <w:tcPr>
            <w:tcW w:w="1134" w:type="dxa"/>
          </w:tcPr>
          <w:p w14:paraId="31C8C009"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color w:val="000000" w:themeColor="text1"/>
                <w:sz w:val="18"/>
                <w:szCs w:val="18"/>
              </w:rPr>
              <w:t>A</w:t>
            </w:r>
          </w:p>
        </w:tc>
      </w:tr>
      <w:tr w:rsidR="00356206" w:rsidRPr="00BA5C80" w14:paraId="31C8C011"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0B" w14:textId="77777777" w:rsidR="00356206" w:rsidRPr="00D345A9" w:rsidRDefault="00356206" w:rsidP="00356206">
            <w:pPr>
              <w:spacing w:after="0"/>
              <w:rPr>
                <w:b w:val="0"/>
                <w:bCs w:val="0"/>
                <w:i/>
                <w:color w:val="000000" w:themeColor="text1"/>
                <w:sz w:val="18"/>
                <w:szCs w:val="18"/>
              </w:rPr>
            </w:pPr>
            <w:r w:rsidRPr="00D345A9">
              <w:rPr>
                <w:b w:val="0"/>
                <w:bCs w:val="0"/>
                <w:i/>
                <w:color w:val="000000" w:themeColor="text1"/>
                <w:sz w:val="18"/>
                <w:szCs w:val="18"/>
              </w:rPr>
              <w:t>Casu</w:t>
            </w:r>
            <w:r>
              <w:rPr>
                <w:b w:val="0"/>
                <w:bCs w:val="0"/>
                <w:i/>
                <w:color w:val="000000" w:themeColor="text1"/>
                <w:sz w:val="18"/>
                <w:szCs w:val="18"/>
              </w:rPr>
              <w:t>a</w:t>
            </w:r>
            <w:r w:rsidRPr="00D345A9">
              <w:rPr>
                <w:b w:val="0"/>
                <w:bCs w:val="0"/>
                <w:i/>
                <w:color w:val="000000" w:themeColor="text1"/>
                <w:sz w:val="18"/>
                <w:szCs w:val="18"/>
              </w:rPr>
              <w:t xml:space="preserve">rina </w:t>
            </w:r>
            <w:proofErr w:type="spellStart"/>
            <w:r w:rsidRPr="00D345A9">
              <w:rPr>
                <w:b w:val="0"/>
                <w:bCs w:val="0"/>
                <w:i/>
                <w:color w:val="000000" w:themeColor="text1"/>
                <w:sz w:val="18"/>
                <w:szCs w:val="18"/>
              </w:rPr>
              <w:t>glauca</w:t>
            </w:r>
            <w:proofErr w:type="spellEnd"/>
          </w:p>
        </w:tc>
        <w:tc>
          <w:tcPr>
            <w:tcW w:w="993" w:type="dxa"/>
          </w:tcPr>
          <w:p w14:paraId="31C8C00C"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345A9">
              <w:rPr>
                <w:color w:val="000000" w:themeColor="text1"/>
                <w:sz w:val="18"/>
                <w:szCs w:val="18"/>
              </w:rPr>
              <w:t>1.6-3.0</w:t>
            </w:r>
          </w:p>
        </w:tc>
        <w:tc>
          <w:tcPr>
            <w:tcW w:w="1275" w:type="dxa"/>
          </w:tcPr>
          <w:p w14:paraId="31C8C00D" w14:textId="77777777" w:rsidR="00356206" w:rsidRPr="00BA552B"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52B">
              <w:rPr>
                <w:color w:val="000000" w:themeColor="text1"/>
                <w:sz w:val="18"/>
                <w:szCs w:val="18"/>
              </w:rPr>
              <w:t>A</w:t>
            </w:r>
          </w:p>
        </w:tc>
        <w:tc>
          <w:tcPr>
            <w:tcW w:w="2235" w:type="dxa"/>
          </w:tcPr>
          <w:p w14:paraId="31C8C00E"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18"/>
                <w:szCs w:val="18"/>
              </w:rPr>
            </w:pPr>
            <w:proofErr w:type="spellStart"/>
            <w:r w:rsidRPr="00BA5C80">
              <w:rPr>
                <w:rFonts w:eastAsia="Times New Roman"/>
                <w:i/>
                <w:color w:val="000000" w:themeColor="text1"/>
                <w:sz w:val="18"/>
                <w:szCs w:val="18"/>
              </w:rPr>
              <w:t>Leptocarpus</w:t>
            </w:r>
            <w:proofErr w:type="spellEnd"/>
            <w:r w:rsidRPr="00BA5C80">
              <w:rPr>
                <w:rFonts w:eastAsia="Times New Roman"/>
                <w:i/>
                <w:color w:val="000000" w:themeColor="text1"/>
                <w:sz w:val="18"/>
                <w:szCs w:val="18"/>
              </w:rPr>
              <w:t xml:space="preserve"> </w:t>
            </w:r>
            <w:proofErr w:type="spellStart"/>
            <w:r w:rsidRPr="00BA5C80">
              <w:rPr>
                <w:rFonts w:eastAsia="Times New Roman"/>
                <w:i/>
                <w:color w:val="000000" w:themeColor="text1"/>
                <w:sz w:val="18"/>
                <w:szCs w:val="18"/>
              </w:rPr>
              <w:t>tenax</w:t>
            </w:r>
            <w:proofErr w:type="spellEnd"/>
          </w:p>
        </w:tc>
        <w:tc>
          <w:tcPr>
            <w:tcW w:w="1026" w:type="dxa"/>
          </w:tcPr>
          <w:p w14:paraId="31C8C00F"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w:t>
            </w:r>
          </w:p>
        </w:tc>
        <w:tc>
          <w:tcPr>
            <w:tcW w:w="1134" w:type="dxa"/>
          </w:tcPr>
          <w:p w14:paraId="31C8C010"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D</w:t>
            </w:r>
          </w:p>
        </w:tc>
      </w:tr>
      <w:tr w:rsidR="00356206" w:rsidRPr="00BA5C80" w14:paraId="31C8C018"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12" w14:textId="77777777" w:rsidR="00356206" w:rsidRPr="00D345A9" w:rsidRDefault="00356206" w:rsidP="00223C2A">
            <w:pPr>
              <w:spacing w:after="0"/>
              <w:rPr>
                <w:b w:val="0"/>
                <w:bCs w:val="0"/>
                <w:i/>
                <w:color w:val="000000" w:themeColor="text1"/>
                <w:sz w:val="18"/>
                <w:szCs w:val="18"/>
              </w:rPr>
            </w:pPr>
            <w:proofErr w:type="spellStart"/>
            <w:r>
              <w:rPr>
                <w:b w:val="0"/>
                <w:bCs w:val="0"/>
                <w:i/>
                <w:color w:val="000000" w:themeColor="text1"/>
                <w:sz w:val="18"/>
                <w:szCs w:val="18"/>
              </w:rPr>
              <w:t>Cast</w:t>
            </w:r>
            <w:r w:rsidR="00223C2A">
              <w:rPr>
                <w:b w:val="0"/>
                <w:bCs w:val="0"/>
                <w:i/>
                <w:color w:val="000000" w:themeColor="text1"/>
                <w:sz w:val="18"/>
                <w:szCs w:val="18"/>
              </w:rPr>
              <w:t>a</w:t>
            </w:r>
            <w:r>
              <w:rPr>
                <w:b w:val="0"/>
                <w:bCs w:val="0"/>
                <w:i/>
                <w:color w:val="000000" w:themeColor="text1"/>
                <w:sz w:val="18"/>
                <w:szCs w:val="18"/>
              </w:rPr>
              <w:t>nospora</w:t>
            </w:r>
            <w:proofErr w:type="spellEnd"/>
            <w:r>
              <w:rPr>
                <w:b w:val="0"/>
                <w:bCs w:val="0"/>
                <w:i/>
                <w:color w:val="000000" w:themeColor="text1"/>
                <w:sz w:val="18"/>
                <w:szCs w:val="18"/>
              </w:rPr>
              <w:t xml:space="preserve"> </w:t>
            </w:r>
            <w:proofErr w:type="spellStart"/>
            <w:r>
              <w:rPr>
                <w:b w:val="0"/>
                <w:bCs w:val="0"/>
                <w:i/>
                <w:color w:val="000000" w:themeColor="text1"/>
                <w:sz w:val="18"/>
                <w:szCs w:val="18"/>
              </w:rPr>
              <w:t>alphandii</w:t>
            </w:r>
            <w:proofErr w:type="spellEnd"/>
          </w:p>
        </w:tc>
        <w:tc>
          <w:tcPr>
            <w:tcW w:w="993" w:type="dxa"/>
          </w:tcPr>
          <w:p w14:paraId="31C8C013"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C014" w14:textId="77777777" w:rsidR="00356206" w:rsidRPr="00BA552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w:t>
            </w:r>
          </w:p>
        </w:tc>
        <w:tc>
          <w:tcPr>
            <w:tcW w:w="2235" w:type="dxa"/>
          </w:tcPr>
          <w:p w14:paraId="31C8C015"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18"/>
                <w:szCs w:val="18"/>
              </w:rPr>
            </w:pPr>
            <w:r w:rsidRPr="00BA5C80">
              <w:rPr>
                <w:rFonts w:eastAsia="Times New Roman"/>
                <w:i/>
                <w:color w:val="000000" w:themeColor="text1"/>
                <w:sz w:val="18"/>
                <w:szCs w:val="18"/>
              </w:rPr>
              <w:t xml:space="preserve">Melaleuca </w:t>
            </w:r>
            <w:proofErr w:type="spellStart"/>
            <w:r w:rsidRPr="00BA5C80">
              <w:rPr>
                <w:rFonts w:eastAsia="Times New Roman"/>
                <w:i/>
                <w:color w:val="000000" w:themeColor="text1"/>
                <w:sz w:val="18"/>
                <w:szCs w:val="18"/>
              </w:rPr>
              <w:t>argentea</w:t>
            </w:r>
            <w:proofErr w:type="spellEnd"/>
          </w:p>
        </w:tc>
        <w:tc>
          <w:tcPr>
            <w:tcW w:w="1026" w:type="dxa"/>
          </w:tcPr>
          <w:p w14:paraId="31C8C016"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w:t>
            </w:r>
          </w:p>
        </w:tc>
        <w:tc>
          <w:tcPr>
            <w:tcW w:w="1134" w:type="dxa"/>
          </w:tcPr>
          <w:p w14:paraId="31C8C017"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BA5C80">
              <w:rPr>
                <w:rFonts w:eastAsia="Times New Roman"/>
                <w:color w:val="000000" w:themeColor="text1"/>
                <w:sz w:val="18"/>
                <w:szCs w:val="18"/>
              </w:rPr>
              <w:t>C</w:t>
            </w:r>
          </w:p>
        </w:tc>
      </w:tr>
      <w:tr w:rsidR="00356206" w:rsidRPr="00BA5C80" w14:paraId="31C8C01F"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19" w14:textId="77777777" w:rsidR="00356206" w:rsidRPr="00D345A9" w:rsidRDefault="00356206" w:rsidP="00356206">
            <w:pPr>
              <w:spacing w:after="0"/>
              <w:rPr>
                <w:b w:val="0"/>
                <w:i/>
                <w:color w:val="000000" w:themeColor="text1"/>
                <w:sz w:val="18"/>
                <w:szCs w:val="18"/>
              </w:rPr>
            </w:pPr>
            <w:proofErr w:type="spellStart"/>
            <w:r w:rsidRPr="00D345A9">
              <w:rPr>
                <w:b w:val="0"/>
                <w:bCs w:val="0"/>
                <w:i/>
                <w:color w:val="000000" w:themeColor="text1"/>
                <w:sz w:val="18"/>
                <w:szCs w:val="18"/>
              </w:rPr>
              <w:t>Corymbia</w:t>
            </w:r>
            <w:proofErr w:type="spellEnd"/>
            <w:r w:rsidRPr="00D345A9">
              <w:rPr>
                <w:b w:val="0"/>
                <w:bCs w:val="0"/>
                <w:i/>
                <w:color w:val="000000" w:themeColor="text1"/>
                <w:sz w:val="18"/>
                <w:szCs w:val="18"/>
              </w:rPr>
              <w:t xml:space="preserve"> </w:t>
            </w:r>
            <w:proofErr w:type="spellStart"/>
            <w:r w:rsidRPr="00D345A9">
              <w:rPr>
                <w:b w:val="0"/>
                <w:bCs w:val="0"/>
                <w:i/>
                <w:color w:val="000000" w:themeColor="text1"/>
                <w:sz w:val="18"/>
                <w:szCs w:val="18"/>
              </w:rPr>
              <w:t>clarksoniana</w:t>
            </w:r>
            <w:proofErr w:type="spellEnd"/>
          </w:p>
        </w:tc>
        <w:tc>
          <w:tcPr>
            <w:tcW w:w="993" w:type="dxa"/>
          </w:tcPr>
          <w:p w14:paraId="31C8C01A"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345A9">
              <w:rPr>
                <w:color w:val="000000" w:themeColor="text1"/>
                <w:sz w:val="18"/>
                <w:szCs w:val="18"/>
              </w:rPr>
              <w:t>10</w:t>
            </w:r>
          </w:p>
        </w:tc>
        <w:tc>
          <w:tcPr>
            <w:tcW w:w="1275" w:type="dxa"/>
          </w:tcPr>
          <w:p w14:paraId="31C8C01B"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52B">
              <w:rPr>
                <w:color w:val="000000" w:themeColor="text1"/>
                <w:sz w:val="18"/>
                <w:szCs w:val="18"/>
              </w:rPr>
              <w:t>A</w:t>
            </w:r>
          </w:p>
        </w:tc>
        <w:tc>
          <w:tcPr>
            <w:tcW w:w="2235" w:type="dxa"/>
          </w:tcPr>
          <w:p w14:paraId="31C8C01C"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sidRPr="00BA5C80">
              <w:rPr>
                <w:rFonts w:eastAsia="Times New Roman"/>
                <w:i/>
                <w:color w:val="000000" w:themeColor="text1"/>
                <w:sz w:val="18"/>
                <w:szCs w:val="18"/>
              </w:rPr>
              <w:t xml:space="preserve">Melaleuca </w:t>
            </w:r>
            <w:proofErr w:type="spellStart"/>
            <w:r w:rsidRPr="00BA5C80">
              <w:rPr>
                <w:rFonts w:eastAsia="Times New Roman"/>
                <w:i/>
                <w:color w:val="000000" w:themeColor="text1"/>
                <w:sz w:val="18"/>
                <w:szCs w:val="18"/>
              </w:rPr>
              <w:t>glomerata</w:t>
            </w:r>
            <w:proofErr w:type="spellEnd"/>
          </w:p>
        </w:tc>
        <w:tc>
          <w:tcPr>
            <w:tcW w:w="1026" w:type="dxa"/>
          </w:tcPr>
          <w:p w14:paraId="31C8C01D"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w:t>
            </w:r>
          </w:p>
        </w:tc>
        <w:tc>
          <w:tcPr>
            <w:tcW w:w="1134" w:type="dxa"/>
          </w:tcPr>
          <w:p w14:paraId="31C8C01E"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rFonts w:eastAsia="Times New Roman"/>
                <w:color w:val="000000" w:themeColor="text1"/>
                <w:sz w:val="18"/>
                <w:szCs w:val="18"/>
              </w:rPr>
              <w:t>C</w:t>
            </w:r>
          </w:p>
        </w:tc>
      </w:tr>
      <w:tr w:rsidR="00356206" w:rsidRPr="00BA5C80" w14:paraId="31C8C026"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20" w14:textId="77777777" w:rsidR="00356206" w:rsidRPr="00D345A9" w:rsidRDefault="00356206" w:rsidP="00356206">
            <w:pPr>
              <w:spacing w:after="0"/>
              <w:rPr>
                <w:b w:val="0"/>
                <w:i/>
                <w:color w:val="000000" w:themeColor="text1"/>
                <w:sz w:val="18"/>
                <w:szCs w:val="18"/>
              </w:rPr>
            </w:pPr>
            <w:proofErr w:type="spellStart"/>
            <w:r>
              <w:rPr>
                <w:b w:val="0"/>
                <w:i/>
                <w:color w:val="000000" w:themeColor="text1"/>
                <w:sz w:val="18"/>
                <w:szCs w:val="18"/>
              </w:rPr>
              <w:t>Corymbia</w:t>
            </w:r>
            <w:proofErr w:type="spellEnd"/>
            <w:r>
              <w:rPr>
                <w:b w:val="0"/>
                <w:i/>
                <w:color w:val="000000" w:themeColor="text1"/>
                <w:sz w:val="18"/>
                <w:szCs w:val="18"/>
              </w:rPr>
              <w:t xml:space="preserve"> </w:t>
            </w:r>
            <w:proofErr w:type="spellStart"/>
            <w:r>
              <w:rPr>
                <w:b w:val="0"/>
                <w:i/>
                <w:color w:val="000000" w:themeColor="text1"/>
                <w:sz w:val="18"/>
                <w:szCs w:val="18"/>
              </w:rPr>
              <w:t>opaca</w:t>
            </w:r>
            <w:proofErr w:type="spellEnd"/>
          </w:p>
        </w:tc>
        <w:tc>
          <w:tcPr>
            <w:tcW w:w="993" w:type="dxa"/>
          </w:tcPr>
          <w:p w14:paraId="31C8C021"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C022" w14:textId="77777777" w:rsidR="00356206" w:rsidRPr="00BA552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w:t>
            </w:r>
          </w:p>
        </w:tc>
        <w:tc>
          <w:tcPr>
            <w:tcW w:w="2235" w:type="dxa"/>
          </w:tcPr>
          <w:p w14:paraId="31C8C023"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Melaleuca </w:t>
            </w:r>
            <w:proofErr w:type="spellStart"/>
            <w:r w:rsidRPr="00BA5C80">
              <w:rPr>
                <w:i/>
                <w:color w:val="000000" w:themeColor="text1"/>
                <w:sz w:val="18"/>
                <w:szCs w:val="18"/>
              </w:rPr>
              <w:t>halmaturorum</w:t>
            </w:r>
            <w:proofErr w:type="spellEnd"/>
          </w:p>
        </w:tc>
        <w:tc>
          <w:tcPr>
            <w:tcW w:w="1026" w:type="dxa"/>
          </w:tcPr>
          <w:p w14:paraId="31C8C024"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0.3-1.2</w:t>
            </w:r>
          </w:p>
        </w:tc>
        <w:tc>
          <w:tcPr>
            <w:tcW w:w="1134" w:type="dxa"/>
          </w:tcPr>
          <w:p w14:paraId="31C8C025"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A</w:t>
            </w:r>
          </w:p>
        </w:tc>
      </w:tr>
      <w:tr w:rsidR="00356206" w:rsidRPr="00BA5C80" w14:paraId="31C8C02D"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27" w14:textId="77777777" w:rsidR="00356206" w:rsidRPr="00D345A9" w:rsidRDefault="00356206" w:rsidP="00356206">
            <w:pPr>
              <w:spacing w:after="0"/>
              <w:rPr>
                <w:b w:val="0"/>
                <w:i/>
                <w:color w:val="000000" w:themeColor="text1"/>
                <w:sz w:val="18"/>
                <w:szCs w:val="18"/>
              </w:rPr>
            </w:pPr>
            <w:proofErr w:type="spellStart"/>
            <w:r>
              <w:rPr>
                <w:b w:val="0"/>
                <w:i/>
                <w:color w:val="000000" w:themeColor="text1"/>
                <w:sz w:val="18"/>
                <w:szCs w:val="18"/>
              </w:rPr>
              <w:t>Corymbia</w:t>
            </w:r>
            <w:proofErr w:type="spellEnd"/>
            <w:r>
              <w:rPr>
                <w:b w:val="0"/>
                <w:i/>
                <w:color w:val="000000" w:themeColor="text1"/>
                <w:sz w:val="18"/>
                <w:szCs w:val="18"/>
              </w:rPr>
              <w:t xml:space="preserve"> </w:t>
            </w:r>
            <w:proofErr w:type="spellStart"/>
            <w:r>
              <w:rPr>
                <w:b w:val="0"/>
                <w:i/>
                <w:color w:val="000000" w:themeColor="text1"/>
                <w:sz w:val="18"/>
                <w:szCs w:val="18"/>
              </w:rPr>
              <w:t>tessellaris</w:t>
            </w:r>
            <w:proofErr w:type="spellEnd"/>
          </w:p>
        </w:tc>
        <w:tc>
          <w:tcPr>
            <w:tcW w:w="993" w:type="dxa"/>
          </w:tcPr>
          <w:p w14:paraId="31C8C028"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C029" w14:textId="77777777" w:rsidR="00356206" w:rsidRPr="00BA552B"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D</w:t>
            </w:r>
          </w:p>
        </w:tc>
        <w:tc>
          <w:tcPr>
            <w:tcW w:w="2235" w:type="dxa"/>
          </w:tcPr>
          <w:p w14:paraId="31C8C02A"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Melaleuca </w:t>
            </w:r>
            <w:proofErr w:type="spellStart"/>
            <w:r w:rsidRPr="00BA5C80">
              <w:rPr>
                <w:i/>
                <w:color w:val="000000" w:themeColor="text1"/>
                <w:sz w:val="18"/>
                <w:szCs w:val="18"/>
              </w:rPr>
              <w:t>preissiana</w:t>
            </w:r>
            <w:proofErr w:type="spellEnd"/>
          </w:p>
        </w:tc>
        <w:tc>
          <w:tcPr>
            <w:tcW w:w="1026" w:type="dxa"/>
          </w:tcPr>
          <w:p w14:paraId="31C8C02B"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&lt;13.9</w:t>
            </w:r>
          </w:p>
        </w:tc>
        <w:tc>
          <w:tcPr>
            <w:tcW w:w="1134" w:type="dxa"/>
          </w:tcPr>
          <w:p w14:paraId="31C8C02C"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B</w:t>
            </w:r>
          </w:p>
        </w:tc>
      </w:tr>
      <w:tr w:rsidR="00356206" w:rsidRPr="00BA5C80" w14:paraId="31C8C034"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2E" w14:textId="77777777" w:rsidR="00356206" w:rsidRPr="00D345A9" w:rsidRDefault="00356206" w:rsidP="00356206">
            <w:pPr>
              <w:spacing w:after="0"/>
              <w:rPr>
                <w:b w:val="0"/>
                <w:i/>
                <w:color w:val="000000" w:themeColor="text1"/>
                <w:sz w:val="18"/>
                <w:szCs w:val="18"/>
              </w:rPr>
            </w:pPr>
            <w:proofErr w:type="spellStart"/>
            <w:r>
              <w:rPr>
                <w:b w:val="0"/>
                <w:i/>
                <w:color w:val="000000" w:themeColor="text1"/>
                <w:sz w:val="18"/>
                <w:szCs w:val="18"/>
              </w:rPr>
              <w:t>Dor</w:t>
            </w:r>
            <w:r w:rsidR="00223C2A">
              <w:rPr>
                <w:b w:val="0"/>
                <w:i/>
                <w:color w:val="000000" w:themeColor="text1"/>
                <w:sz w:val="18"/>
                <w:szCs w:val="18"/>
              </w:rPr>
              <w:t>y</w:t>
            </w:r>
            <w:r>
              <w:rPr>
                <w:b w:val="0"/>
                <w:i/>
                <w:color w:val="000000" w:themeColor="text1"/>
                <w:sz w:val="18"/>
                <w:szCs w:val="18"/>
              </w:rPr>
              <w:t>phora</w:t>
            </w:r>
            <w:proofErr w:type="spellEnd"/>
            <w:r>
              <w:rPr>
                <w:b w:val="0"/>
                <w:i/>
                <w:color w:val="000000" w:themeColor="text1"/>
                <w:sz w:val="18"/>
                <w:szCs w:val="18"/>
              </w:rPr>
              <w:t xml:space="preserve"> </w:t>
            </w:r>
            <w:proofErr w:type="spellStart"/>
            <w:r>
              <w:rPr>
                <w:b w:val="0"/>
                <w:i/>
                <w:color w:val="000000" w:themeColor="text1"/>
                <w:sz w:val="18"/>
                <w:szCs w:val="18"/>
              </w:rPr>
              <w:t>aromatica</w:t>
            </w:r>
            <w:proofErr w:type="spellEnd"/>
          </w:p>
        </w:tc>
        <w:tc>
          <w:tcPr>
            <w:tcW w:w="993" w:type="dxa"/>
          </w:tcPr>
          <w:p w14:paraId="31C8C02F"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C030" w14:textId="77777777" w:rsidR="00356206" w:rsidRPr="00BA552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w:t>
            </w:r>
          </w:p>
        </w:tc>
        <w:tc>
          <w:tcPr>
            <w:tcW w:w="2235" w:type="dxa"/>
          </w:tcPr>
          <w:p w14:paraId="31C8C031"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Melaleuca </w:t>
            </w:r>
            <w:proofErr w:type="spellStart"/>
            <w:r w:rsidRPr="00BA5C80">
              <w:rPr>
                <w:i/>
                <w:color w:val="000000" w:themeColor="text1"/>
                <w:sz w:val="18"/>
                <w:szCs w:val="18"/>
              </w:rPr>
              <w:t>quinquenervia</w:t>
            </w:r>
            <w:proofErr w:type="spellEnd"/>
          </w:p>
        </w:tc>
        <w:tc>
          <w:tcPr>
            <w:tcW w:w="1026" w:type="dxa"/>
          </w:tcPr>
          <w:p w14:paraId="31C8C032"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w:t>
            </w:r>
          </w:p>
        </w:tc>
        <w:tc>
          <w:tcPr>
            <w:tcW w:w="1134" w:type="dxa"/>
          </w:tcPr>
          <w:p w14:paraId="31C8C033"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C</w:t>
            </w:r>
          </w:p>
        </w:tc>
      </w:tr>
      <w:tr w:rsidR="00356206" w:rsidRPr="00BA5C80" w14:paraId="31C8C03B"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35" w14:textId="77777777" w:rsidR="00356206" w:rsidRDefault="00356206" w:rsidP="00356206">
            <w:pPr>
              <w:spacing w:after="0"/>
              <w:rPr>
                <w:b w:val="0"/>
                <w:i/>
                <w:color w:val="000000" w:themeColor="text1"/>
                <w:sz w:val="18"/>
                <w:szCs w:val="18"/>
              </w:rPr>
            </w:pPr>
            <w:r w:rsidRPr="00D345A9">
              <w:rPr>
                <w:b w:val="0"/>
                <w:bCs w:val="0"/>
                <w:i/>
                <w:color w:val="000000" w:themeColor="text1"/>
                <w:sz w:val="18"/>
                <w:szCs w:val="18"/>
              </w:rPr>
              <w:t xml:space="preserve">Eucalyptus </w:t>
            </w:r>
            <w:proofErr w:type="spellStart"/>
            <w:r w:rsidRPr="00D345A9">
              <w:rPr>
                <w:b w:val="0"/>
                <w:bCs w:val="0"/>
                <w:i/>
                <w:color w:val="000000" w:themeColor="text1"/>
                <w:sz w:val="18"/>
                <w:szCs w:val="18"/>
              </w:rPr>
              <w:t>camaldulensis</w:t>
            </w:r>
            <w:proofErr w:type="spellEnd"/>
          </w:p>
        </w:tc>
        <w:tc>
          <w:tcPr>
            <w:tcW w:w="993" w:type="dxa"/>
          </w:tcPr>
          <w:p w14:paraId="31C8C036" w14:textId="77777777" w:rsidR="00356206"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345A9">
              <w:rPr>
                <w:color w:val="000000" w:themeColor="text1"/>
                <w:sz w:val="18"/>
                <w:szCs w:val="18"/>
              </w:rPr>
              <w:t>1.3-6</w:t>
            </w:r>
          </w:p>
        </w:tc>
        <w:tc>
          <w:tcPr>
            <w:tcW w:w="1275" w:type="dxa"/>
          </w:tcPr>
          <w:p w14:paraId="31C8C037" w14:textId="77777777" w:rsidR="00356206"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52B">
              <w:rPr>
                <w:color w:val="000000" w:themeColor="text1"/>
                <w:sz w:val="18"/>
                <w:szCs w:val="18"/>
              </w:rPr>
              <w:t>A</w:t>
            </w:r>
          </w:p>
        </w:tc>
        <w:tc>
          <w:tcPr>
            <w:tcW w:w="2235" w:type="dxa"/>
          </w:tcPr>
          <w:p w14:paraId="31C8C038"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Melaleuca </w:t>
            </w:r>
            <w:proofErr w:type="spellStart"/>
            <w:r w:rsidRPr="00BA5C80">
              <w:rPr>
                <w:i/>
                <w:color w:val="000000" w:themeColor="text1"/>
                <w:sz w:val="18"/>
                <w:szCs w:val="18"/>
              </w:rPr>
              <w:t>rhapiophylla</w:t>
            </w:r>
            <w:proofErr w:type="spellEnd"/>
          </w:p>
        </w:tc>
        <w:tc>
          <w:tcPr>
            <w:tcW w:w="1026" w:type="dxa"/>
          </w:tcPr>
          <w:p w14:paraId="31C8C039"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&lt;9.27</w:t>
            </w:r>
          </w:p>
        </w:tc>
        <w:tc>
          <w:tcPr>
            <w:tcW w:w="1134" w:type="dxa"/>
          </w:tcPr>
          <w:p w14:paraId="31C8C03A"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B</w:t>
            </w:r>
          </w:p>
        </w:tc>
      </w:tr>
      <w:tr w:rsidR="00356206" w:rsidRPr="00BA5C80" w14:paraId="31C8C042"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3C" w14:textId="77777777" w:rsidR="00356206" w:rsidRPr="00D345A9" w:rsidRDefault="00356206" w:rsidP="00356206">
            <w:pPr>
              <w:spacing w:after="0"/>
              <w:rPr>
                <w:b w:val="0"/>
                <w:i/>
                <w:color w:val="000000" w:themeColor="text1"/>
                <w:sz w:val="18"/>
                <w:szCs w:val="18"/>
              </w:rPr>
            </w:pPr>
            <w:r w:rsidRPr="00D345A9">
              <w:rPr>
                <w:b w:val="0"/>
                <w:i/>
                <w:color w:val="000000" w:themeColor="text1"/>
                <w:sz w:val="18"/>
                <w:szCs w:val="18"/>
              </w:rPr>
              <w:t>Eucalyptus coolabah</w:t>
            </w:r>
          </w:p>
        </w:tc>
        <w:tc>
          <w:tcPr>
            <w:tcW w:w="993" w:type="dxa"/>
          </w:tcPr>
          <w:p w14:paraId="31C8C03D"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345A9">
              <w:rPr>
                <w:color w:val="000000" w:themeColor="text1"/>
                <w:sz w:val="18"/>
                <w:szCs w:val="18"/>
              </w:rPr>
              <w:t>2.7-5.7</w:t>
            </w:r>
          </w:p>
        </w:tc>
        <w:tc>
          <w:tcPr>
            <w:tcW w:w="1275" w:type="dxa"/>
          </w:tcPr>
          <w:p w14:paraId="31C8C03E" w14:textId="77777777" w:rsidR="00356206" w:rsidRPr="00BA552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52B">
              <w:rPr>
                <w:color w:val="000000" w:themeColor="text1"/>
                <w:sz w:val="18"/>
                <w:szCs w:val="18"/>
              </w:rPr>
              <w:t>A</w:t>
            </w:r>
          </w:p>
        </w:tc>
        <w:tc>
          <w:tcPr>
            <w:tcW w:w="2235" w:type="dxa"/>
          </w:tcPr>
          <w:p w14:paraId="31C8C03F"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Melaleuca </w:t>
            </w:r>
            <w:proofErr w:type="spellStart"/>
            <w:r w:rsidRPr="00BA5C80">
              <w:rPr>
                <w:i/>
                <w:color w:val="000000" w:themeColor="text1"/>
                <w:sz w:val="18"/>
                <w:szCs w:val="18"/>
              </w:rPr>
              <w:t>tamariscina</w:t>
            </w:r>
            <w:proofErr w:type="spellEnd"/>
          </w:p>
        </w:tc>
        <w:tc>
          <w:tcPr>
            <w:tcW w:w="1026" w:type="dxa"/>
          </w:tcPr>
          <w:p w14:paraId="31C8C040"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w:t>
            </w:r>
          </w:p>
        </w:tc>
        <w:tc>
          <w:tcPr>
            <w:tcW w:w="1134" w:type="dxa"/>
          </w:tcPr>
          <w:p w14:paraId="31C8C041"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D</w:t>
            </w:r>
          </w:p>
        </w:tc>
      </w:tr>
      <w:tr w:rsidR="00356206" w:rsidRPr="00BA5C80" w14:paraId="31C8C049"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43" w14:textId="77777777" w:rsidR="00356206" w:rsidRPr="00D345A9" w:rsidRDefault="00356206" w:rsidP="00356206">
            <w:pPr>
              <w:spacing w:after="0"/>
              <w:rPr>
                <w:b w:val="0"/>
                <w:i/>
                <w:color w:val="000000" w:themeColor="text1"/>
                <w:sz w:val="18"/>
                <w:szCs w:val="18"/>
              </w:rPr>
            </w:pPr>
            <w:r>
              <w:rPr>
                <w:b w:val="0"/>
                <w:i/>
                <w:color w:val="000000" w:themeColor="text1"/>
                <w:sz w:val="18"/>
                <w:szCs w:val="18"/>
              </w:rPr>
              <w:t xml:space="preserve">Eucalyptus </w:t>
            </w:r>
            <w:proofErr w:type="spellStart"/>
            <w:r>
              <w:rPr>
                <w:b w:val="0"/>
                <w:i/>
                <w:color w:val="000000" w:themeColor="text1"/>
                <w:sz w:val="18"/>
                <w:szCs w:val="18"/>
              </w:rPr>
              <w:t>globulus</w:t>
            </w:r>
            <w:proofErr w:type="spellEnd"/>
          </w:p>
        </w:tc>
        <w:tc>
          <w:tcPr>
            <w:tcW w:w="993" w:type="dxa"/>
          </w:tcPr>
          <w:p w14:paraId="31C8C044"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C045" w14:textId="77777777" w:rsidR="00356206" w:rsidRPr="00BA552B"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C</w:t>
            </w:r>
          </w:p>
        </w:tc>
        <w:tc>
          <w:tcPr>
            <w:tcW w:w="2235" w:type="dxa"/>
          </w:tcPr>
          <w:p w14:paraId="31C8C046"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sidRPr="00BA5C80">
              <w:rPr>
                <w:i/>
                <w:color w:val="000000" w:themeColor="text1"/>
                <w:sz w:val="18"/>
                <w:szCs w:val="18"/>
              </w:rPr>
              <w:t xml:space="preserve">Melaleuca </w:t>
            </w:r>
            <w:proofErr w:type="spellStart"/>
            <w:r w:rsidRPr="00BA5C80">
              <w:rPr>
                <w:i/>
                <w:color w:val="000000" w:themeColor="text1"/>
                <w:sz w:val="18"/>
                <w:szCs w:val="18"/>
              </w:rPr>
              <w:t>viridiflora</w:t>
            </w:r>
            <w:proofErr w:type="spellEnd"/>
          </w:p>
        </w:tc>
        <w:tc>
          <w:tcPr>
            <w:tcW w:w="1026" w:type="dxa"/>
          </w:tcPr>
          <w:p w14:paraId="31C8C047"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10</w:t>
            </w:r>
          </w:p>
        </w:tc>
        <w:tc>
          <w:tcPr>
            <w:tcW w:w="1134" w:type="dxa"/>
          </w:tcPr>
          <w:p w14:paraId="31C8C048"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A</w:t>
            </w:r>
          </w:p>
        </w:tc>
      </w:tr>
      <w:tr w:rsidR="00356206" w:rsidRPr="00BA5C80" w14:paraId="31C8C050"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4A" w14:textId="77777777" w:rsidR="00356206" w:rsidRPr="00D345A9" w:rsidRDefault="00356206" w:rsidP="00356206">
            <w:pPr>
              <w:spacing w:after="0"/>
              <w:rPr>
                <w:b w:val="0"/>
                <w:i/>
                <w:color w:val="000000" w:themeColor="text1"/>
                <w:sz w:val="18"/>
                <w:szCs w:val="18"/>
              </w:rPr>
            </w:pPr>
            <w:r w:rsidRPr="00BA5C80">
              <w:rPr>
                <w:b w:val="0"/>
                <w:i/>
                <w:color w:val="000000" w:themeColor="text1"/>
                <w:sz w:val="18"/>
                <w:szCs w:val="18"/>
              </w:rPr>
              <w:t xml:space="preserve">Eucalyptus </w:t>
            </w:r>
            <w:proofErr w:type="spellStart"/>
            <w:r w:rsidRPr="00BA5C80">
              <w:rPr>
                <w:b w:val="0"/>
                <w:i/>
                <w:color w:val="000000" w:themeColor="text1"/>
                <w:sz w:val="18"/>
                <w:szCs w:val="18"/>
              </w:rPr>
              <w:t>grandis</w:t>
            </w:r>
            <w:proofErr w:type="spellEnd"/>
          </w:p>
        </w:tc>
        <w:tc>
          <w:tcPr>
            <w:tcW w:w="993" w:type="dxa"/>
          </w:tcPr>
          <w:p w14:paraId="31C8C04B"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345A9">
              <w:rPr>
                <w:color w:val="000000" w:themeColor="text1"/>
                <w:sz w:val="18"/>
                <w:szCs w:val="18"/>
              </w:rPr>
              <w:t>4-6</w:t>
            </w:r>
          </w:p>
        </w:tc>
        <w:tc>
          <w:tcPr>
            <w:tcW w:w="1275" w:type="dxa"/>
          </w:tcPr>
          <w:p w14:paraId="31C8C04C" w14:textId="77777777" w:rsidR="00356206" w:rsidRPr="00BA552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52B">
              <w:rPr>
                <w:color w:val="000000" w:themeColor="text1"/>
                <w:sz w:val="18"/>
                <w:szCs w:val="18"/>
              </w:rPr>
              <w:t>A</w:t>
            </w:r>
          </w:p>
        </w:tc>
        <w:tc>
          <w:tcPr>
            <w:tcW w:w="2235" w:type="dxa"/>
          </w:tcPr>
          <w:p w14:paraId="31C8C04D"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proofErr w:type="spellStart"/>
            <w:r w:rsidRPr="00BA5C80">
              <w:rPr>
                <w:i/>
                <w:color w:val="000000" w:themeColor="text1"/>
                <w:sz w:val="18"/>
                <w:szCs w:val="18"/>
              </w:rPr>
              <w:t>Restio</w:t>
            </w:r>
            <w:proofErr w:type="spellEnd"/>
            <w:r w:rsidRPr="00BA5C80">
              <w:rPr>
                <w:i/>
                <w:color w:val="000000" w:themeColor="text1"/>
                <w:sz w:val="18"/>
                <w:szCs w:val="18"/>
              </w:rPr>
              <w:t xml:space="preserve"> </w:t>
            </w:r>
            <w:proofErr w:type="spellStart"/>
            <w:r w:rsidRPr="00BA5C80">
              <w:rPr>
                <w:i/>
                <w:color w:val="000000" w:themeColor="text1"/>
                <w:sz w:val="18"/>
                <w:szCs w:val="18"/>
              </w:rPr>
              <w:t>pallens</w:t>
            </w:r>
            <w:proofErr w:type="spellEnd"/>
          </w:p>
        </w:tc>
        <w:tc>
          <w:tcPr>
            <w:tcW w:w="1026" w:type="dxa"/>
          </w:tcPr>
          <w:p w14:paraId="31C8C04E"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w:t>
            </w:r>
          </w:p>
        </w:tc>
        <w:tc>
          <w:tcPr>
            <w:tcW w:w="1134" w:type="dxa"/>
          </w:tcPr>
          <w:p w14:paraId="31C8C04F"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D</w:t>
            </w:r>
          </w:p>
        </w:tc>
      </w:tr>
      <w:tr w:rsidR="00356206" w:rsidRPr="00BA5C80" w14:paraId="31C8C057"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51" w14:textId="77777777" w:rsidR="00356206" w:rsidRDefault="00356206" w:rsidP="00356206">
            <w:pPr>
              <w:spacing w:after="0"/>
              <w:rPr>
                <w:b w:val="0"/>
                <w:i/>
                <w:color w:val="000000" w:themeColor="text1"/>
                <w:sz w:val="18"/>
                <w:szCs w:val="18"/>
              </w:rPr>
            </w:pPr>
            <w:r w:rsidRPr="00BA5C80">
              <w:rPr>
                <w:b w:val="0"/>
                <w:i/>
                <w:color w:val="000000" w:themeColor="text1"/>
                <w:sz w:val="18"/>
                <w:szCs w:val="18"/>
              </w:rPr>
              <w:t xml:space="preserve">Eucalyptus </w:t>
            </w:r>
            <w:proofErr w:type="spellStart"/>
            <w:r w:rsidRPr="00BA5C80">
              <w:rPr>
                <w:b w:val="0"/>
                <w:i/>
                <w:color w:val="000000" w:themeColor="text1"/>
                <w:sz w:val="18"/>
                <w:szCs w:val="18"/>
              </w:rPr>
              <w:t>kochii</w:t>
            </w:r>
            <w:proofErr w:type="spellEnd"/>
          </w:p>
        </w:tc>
        <w:tc>
          <w:tcPr>
            <w:tcW w:w="993" w:type="dxa"/>
          </w:tcPr>
          <w:p w14:paraId="31C8C052"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345A9">
              <w:rPr>
                <w:color w:val="000000" w:themeColor="text1"/>
                <w:sz w:val="18"/>
                <w:szCs w:val="18"/>
              </w:rPr>
              <w:t>8.5-14</w:t>
            </w:r>
          </w:p>
        </w:tc>
        <w:tc>
          <w:tcPr>
            <w:tcW w:w="1275" w:type="dxa"/>
          </w:tcPr>
          <w:p w14:paraId="31C8C053" w14:textId="77777777" w:rsidR="00356206"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716C45">
              <w:rPr>
                <w:color w:val="000000" w:themeColor="text1"/>
                <w:sz w:val="18"/>
                <w:szCs w:val="18"/>
              </w:rPr>
              <w:t>A</w:t>
            </w:r>
          </w:p>
        </w:tc>
        <w:tc>
          <w:tcPr>
            <w:tcW w:w="2235" w:type="dxa"/>
          </w:tcPr>
          <w:p w14:paraId="31C8C054"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roofErr w:type="spellStart"/>
            <w:r w:rsidRPr="00BA5C80">
              <w:rPr>
                <w:i/>
                <w:color w:val="000000" w:themeColor="text1"/>
                <w:sz w:val="18"/>
                <w:szCs w:val="18"/>
              </w:rPr>
              <w:t>Schoenus</w:t>
            </w:r>
            <w:proofErr w:type="spellEnd"/>
            <w:r w:rsidRPr="00BA5C80">
              <w:rPr>
                <w:i/>
                <w:color w:val="000000" w:themeColor="text1"/>
                <w:sz w:val="18"/>
                <w:szCs w:val="18"/>
              </w:rPr>
              <w:t xml:space="preserve"> </w:t>
            </w:r>
            <w:proofErr w:type="spellStart"/>
            <w:r w:rsidRPr="00BA5C80">
              <w:rPr>
                <w:i/>
                <w:color w:val="000000" w:themeColor="text1"/>
                <w:sz w:val="18"/>
                <w:szCs w:val="18"/>
              </w:rPr>
              <w:t>brevifolius</w:t>
            </w:r>
            <w:proofErr w:type="spellEnd"/>
          </w:p>
        </w:tc>
        <w:tc>
          <w:tcPr>
            <w:tcW w:w="1026" w:type="dxa"/>
          </w:tcPr>
          <w:p w14:paraId="31C8C055"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w:t>
            </w:r>
          </w:p>
        </w:tc>
        <w:tc>
          <w:tcPr>
            <w:tcW w:w="1134" w:type="dxa"/>
          </w:tcPr>
          <w:p w14:paraId="31C8C056"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D</w:t>
            </w:r>
          </w:p>
        </w:tc>
      </w:tr>
      <w:tr w:rsidR="00356206" w:rsidRPr="00BA5C80" w14:paraId="31C8C05E"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58" w14:textId="77777777" w:rsidR="00356206" w:rsidRPr="00BA5C80" w:rsidRDefault="00356206" w:rsidP="00356206">
            <w:pPr>
              <w:spacing w:after="0"/>
              <w:rPr>
                <w:b w:val="0"/>
                <w:i/>
                <w:color w:val="000000" w:themeColor="text1"/>
                <w:sz w:val="18"/>
                <w:szCs w:val="18"/>
              </w:rPr>
            </w:pPr>
            <w:r w:rsidRPr="00BA5C80">
              <w:rPr>
                <w:b w:val="0"/>
                <w:i/>
                <w:color w:val="000000" w:themeColor="text1"/>
                <w:sz w:val="18"/>
                <w:szCs w:val="18"/>
              </w:rPr>
              <w:t xml:space="preserve">Eucalyptus </w:t>
            </w:r>
            <w:proofErr w:type="spellStart"/>
            <w:r w:rsidRPr="00BA5C80">
              <w:rPr>
                <w:b w:val="0"/>
                <w:i/>
                <w:color w:val="000000" w:themeColor="text1"/>
                <w:sz w:val="18"/>
                <w:szCs w:val="18"/>
              </w:rPr>
              <w:t>kochii</w:t>
            </w:r>
            <w:proofErr w:type="spellEnd"/>
            <w:r w:rsidRPr="00BA5C80">
              <w:rPr>
                <w:b w:val="0"/>
                <w:i/>
                <w:color w:val="000000" w:themeColor="text1"/>
                <w:sz w:val="18"/>
                <w:szCs w:val="18"/>
              </w:rPr>
              <w:t xml:space="preserve"> </w:t>
            </w:r>
            <w:r w:rsidRPr="00BA5C80">
              <w:rPr>
                <w:b w:val="0"/>
                <w:color w:val="000000" w:themeColor="text1"/>
                <w:sz w:val="18"/>
                <w:szCs w:val="18"/>
              </w:rPr>
              <w:t>subsp.</w:t>
            </w:r>
            <w:r w:rsidRPr="00BA5C80">
              <w:rPr>
                <w:b w:val="0"/>
                <w:i/>
                <w:color w:val="000000" w:themeColor="text1"/>
                <w:sz w:val="18"/>
                <w:szCs w:val="18"/>
              </w:rPr>
              <w:t xml:space="preserve"> </w:t>
            </w:r>
            <w:r>
              <w:rPr>
                <w:b w:val="0"/>
                <w:i/>
                <w:color w:val="000000" w:themeColor="text1"/>
                <w:sz w:val="18"/>
                <w:szCs w:val="18"/>
              </w:rPr>
              <w:t>b</w:t>
            </w:r>
            <w:r w:rsidRPr="00BA5C80">
              <w:rPr>
                <w:b w:val="0"/>
                <w:i/>
                <w:color w:val="000000" w:themeColor="text1"/>
                <w:sz w:val="18"/>
                <w:szCs w:val="18"/>
              </w:rPr>
              <w:t>orealis</w:t>
            </w:r>
          </w:p>
        </w:tc>
        <w:tc>
          <w:tcPr>
            <w:tcW w:w="993" w:type="dxa"/>
          </w:tcPr>
          <w:p w14:paraId="31C8C059"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345A9">
              <w:rPr>
                <w:color w:val="000000" w:themeColor="text1"/>
                <w:sz w:val="18"/>
                <w:szCs w:val="18"/>
              </w:rPr>
              <w:t>4.5</w:t>
            </w:r>
          </w:p>
        </w:tc>
        <w:tc>
          <w:tcPr>
            <w:tcW w:w="1275" w:type="dxa"/>
          </w:tcPr>
          <w:p w14:paraId="31C8C05A" w14:textId="77777777" w:rsidR="00356206" w:rsidRPr="00BA552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52B">
              <w:rPr>
                <w:color w:val="000000" w:themeColor="text1"/>
                <w:sz w:val="18"/>
                <w:szCs w:val="18"/>
              </w:rPr>
              <w:t>A</w:t>
            </w:r>
          </w:p>
        </w:tc>
        <w:tc>
          <w:tcPr>
            <w:tcW w:w="2235" w:type="dxa"/>
          </w:tcPr>
          <w:p w14:paraId="31C8C05B"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proofErr w:type="spellStart"/>
            <w:r w:rsidRPr="00BA5C80">
              <w:rPr>
                <w:i/>
                <w:color w:val="000000" w:themeColor="text1"/>
                <w:sz w:val="18"/>
                <w:szCs w:val="18"/>
              </w:rPr>
              <w:t>Sprengelia</w:t>
            </w:r>
            <w:proofErr w:type="spellEnd"/>
            <w:r w:rsidRPr="00BA5C80">
              <w:rPr>
                <w:i/>
                <w:color w:val="000000" w:themeColor="text1"/>
                <w:sz w:val="18"/>
                <w:szCs w:val="18"/>
              </w:rPr>
              <w:t xml:space="preserve"> </w:t>
            </w:r>
            <w:proofErr w:type="spellStart"/>
            <w:r w:rsidRPr="00BA5C80">
              <w:rPr>
                <w:i/>
                <w:color w:val="000000" w:themeColor="text1"/>
                <w:sz w:val="18"/>
                <w:szCs w:val="18"/>
              </w:rPr>
              <w:t>sprengelioides</w:t>
            </w:r>
            <w:proofErr w:type="spellEnd"/>
          </w:p>
        </w:tc>
        <w:tc>
          <w:tcPr>
            <w:tcW w:w="1026" w:type="dxa"/>
          </w:tcPr>
          <w:p w14:paraId="31C8C05C"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w:t>
            </w:r>
          </w:p>
        </w:tc>
        <w:tc>
          <w:tcPr>
            <w:tcW w:w="1134" w:type="dxa"/>
          </w:tcPr>
          <w:p w14:paraId="31C8C05D"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D</w:t>
            </w:r>
          </w:p>
        </w:tc>
      </w:tr>
      <w:tr w:rsidR="00356206" w:rsidRPr="00BA5C80" w14:paraId="31C8C065" w14:textId="77777777" w:rsidTr="00B701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5F" w14:textId="77777777" w:rsidR="00356206" w:rsidRPr="00BA5C80" w:rsidRDefault="00356206" w:rsidP="00356206">
            <w:pPr>
              <w:spacing w:after="0"/>
              <w:rPr>
                <w:b w:val="0"/>
                <w:i/>
                <w:color w:val="000000" w:themeColor="text1"/>
                <w:sz w:val="18"/>
                <w:szCs w:val="18"/>
              </w:rPr>
            </w:pPr>
            <w:r w:rsidRPr="00BA5C80">
              <w:rPr>
                <w:b w:val="0"/>
                <w:i/>
                <w:color w:val="000000" w:themeColor="text1"/>
                <w:sz w:val="18"/>
                <w:szCs w:val="18"/>
              </w:rPr>
              <w:t xml:space="preserve">Eucalyptus </w:t>
            </w:r>
            <w:proofErr w:type="spellStart"/>
            <w:r w:rsidRPr="00BA5C80">
              <w:rPr>
                <w:b w:val="0"/>
                <w:i/>
                <w:color w:val="000000" w:themeColor="text1"/>
                <w:sz w:val="18"/>
                <w:szCs w:val="18"/>
              </w:rPr>
              <w:t>intertexta</w:t>
            </w:r>
            <w:proofErr w:type="spellEnd"/>
          </w:p>
        </w:tc>
        <w:tc>
          <w:tcPr>
            <w:tcW w:w="993" w:type="dxa"/>
          </w:tcPr>
          <w:p w14:paraId="31C8C060" w14:textId="77777777" w:rsidR="00356206" w:rsidRPr="00D345A9"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C061" w14:textId="77777777" w:rsidR="00356206" w:rsidRPr="00BA552B"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D</w:t>
            </w:r>
          </w:p>
        </w:tc>
        <w:tc>
          <w:tcPr>
            <w:tcW w:w="2235" w:type="dxa"/>
          </w:tcPr>
          <w:p w14:paraId="31C8C062" w14:textId="77777777" w:rsidR="00356206" w:rsidRPr="00BA5C80" w:rsidRDefault="00356206" w:rsidP="00356206">
            <w:pPr>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roofErr w:type="spellStart"/>
            <w:r w:rsidRPr="00BA5C80">
              <w:rPr>
                <w:i/>
                <w:color w:val="000000" w:themeColor="text1"/>
                <w:sz w:val="18"/>
                <w:szCs w:val="18"/>
              </w:rPr>
              <w:t>Syncarpia</w:t>
            </w:r>
            <w:proofErr w:type="spellEnd"/>
            <w:r w:rsidRPr="00BA5C80">
              <w:rPr>
                <w:i/>
                <w:color w:val="000000" w:themeColor="text1"/>
                <w:sz w:val="18"/>
                <w:szCs w:val="18"/>
              </w:rPr>
              <w:t xml:space="preserve"> </w:t>
            </w:r>
            <w:proofErr w:type="spellStart"/>
            <w:r w:rsidRPr="00BA5C80">
              <w:rPr>
                <w:i/>
                <w:color w:val="000000" w:themeColor="text1"/>
                <w:sz w:val="18"/>
                <w:szCs w:val="18"/>
              </w:rPr>
              <w:t>glomulifera</w:t>
            </w:r>
            <w:proofErr w:type="spellEnd"/>
          </w:p>
        </w:tc>
        <w:tc>
          <w:tcPr>
            <w:tcW w:w="1026" w:type="dxa"/>
          </w:tcPr>
          <w:p w14:paraId="31C8C063"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w:t>
            </w:r>
          </w:p>
        </w:tc>
        <w:tc>
          <w:tcPr>
            <w:tcW w:w="1134" w:type="dxa"/>
          </w:tcPr>
          <w:p w14:paraId="31C8C064" w14:textId="77777777" w:rsidR="00356206" w:rsidRPr="00BA5C80" w:rsidRDefault="00356206" w:rsidP="00356206">
            <w:pPr>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A5C80">
              <w:rPr>
                <w:color w:val="000000" w:themeColor="text1"/>
                <w:sz w:val="18"/>
                <w:szCs w:val="18"/>
              </w:rPr>
              <w:t>D</w:t>
            </w:r>
          </w:p>
        </w:tc>
      </w:tr>
      <w:tr w:rsidR="00356206" w:rsidRPr="00BA5C80" w14:paraId="31C8C06C" w14:textId="77777777" w:rsidTr="00B701B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1C8C066" w14:textId="77777777" w:rsidR="00356206" w:rsidRPr="00356206" w:rsidRDefault="00356206" w:rsidP="00356206">
            <w:pPr>
              <w:spacing w:after="0"/>
              <w:rPr>
                <w:b w:val="0"/>
                <w:i/>
                <w:color w:val="000000" w:themeColor="text1"/>
                <w:sz w:val="18"/>
                <w:szCs w:val="18"/>
              </w:rPr>
            </w:pPr>
            <w:r w:rsidRPr="00356206">
              <w:rPr>
                <w:b w:val="0"/>
                <w:i/>
                <w:color w:val="000000" w:themeColor="text1"/>
                <w:sz w:val="18"/>
                <w:szCs w:val="18"/>
              </w:rPr>
              <w:t xml:space="preserve">Eucalyptus </w:t>
            </w:r>
            <w:proofErr w:type="spellStart"/>
            <w:r w:rsidRPr="00356206">
              <w:rPr>
                <w:b w:val="0"/>
                <w:i/>
                <w:color w:val="000000" w:themeColor="text1"/>
                <w:sz w:val="18"/>
                <w:szCs w:val="18"/>
              </w:rPr>
              <w:t>laevopinea</w:t>
            </w:r>
            <w:proofErr w:type="spellEnd"/>
          </w:p>
        </w:tc>
        <w:tc>
          <w:tcPr>
            <w:tcW w:w="993" w:type="dxa"/>
          </w:tcPr>
          <w:p w14:paraId="31C8C067" w14:textId="77777777" w:rsidR="00356206" w:rsidRPr="00D345A9"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t>
            </w:r>
          </w:p>
        </w:tc>
        <w:tc>
          <w:tcPr>
            <w:tcW w:w="1275" w:type="dxa"/>
          </w:tcPr>
          <w:p w14:paraId="31C8C068" w14:textId="77777777" w:rsidR="00356206" w:rsidRPr="00BA552B"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D</w:t>
            </w:r>
          </w:p>
        </w:tc>
        <w:tc>
          <w:tcPr>
            <w:tcW w:w="2235" w:type="dxa"/>
          </w:tcPr>
          <w:p w14:paraId="31C8C069" w14:textId="77777777" w:rsidR="00356206" w:rsidRPr="00BA5C80" w:rsidRDefault="00356206" w:rsidP="00356206">
            <w:pPr>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proofErr w:type="spellStart"/>
            <w:r w:rsidRPr="00BA5C80">
              <w:rPr>
                <w:i/>
                <w:color w:val="000000" w:themeColor="text1"/>
                <w:sz w:val="18"/>
                <w:szCs w:val="18"/>
              </w:rPr>
              <w:t>Typha</w:t>
            </w:r>
            <w:proofErr w:type="spellEnd"/>
            <w:r w:rsidRPr="00BA5C80">
              <w:rPr>
                <w:i/>
                <w:color w:val="000000" w:themeColor="text1"/>
                <w:sz w:val="18"/>
                <w:szCs w:val="18"/>
              </w:rPr>
              <w:t xml:space="preserve"> </w:t>
            </w:r>
            <w:proofErr w:type="spellStart"/>
            <w:r w:rsidRPr="00BA5C80">
              <w:rPr>
                <w:i/>
                <w:color w:val="000000" w:themeColor="text1"/>
                <w:sz w:val="18"/>
                <w:szCs w:val="18"/>
              </w:rPr>
              <w:t>orientalis</w:t>
            </w:r>
            <w:proofErr w:type="spellEnd"/>
          </w:p>
        </w:tc>
        <w:tc>
          <w:tcPr>
            <w:tcW w:w="1026" w:type="dxa"/>
          </w:tcPr>
          <w:p w14:paraId="31C8C06A"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&lt;2.4</w:t>
            </w:r>
          </w:p>
        </w:tc>
        <w:tc>
          <w:tcPr>
            <w:tcW w:w="1134" w:type="dxa"/>
          </w:tcPr>
          <w:p w14:paraId="31C8C06B" w14:textId="77777777" w:rsidR="00356206" w:rsidRPr="00BA5C80" w:rsidRDefault="00356206" w:rsidP="00356206">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A5C80">
              <w:rPr>
                <w:color w:val="000000" w:themeColor="text1"/>
                <w:sz w:val="18"/>
                <w:szCs w:val="18"/>
              </w:rPr>
              <w:t>B</w:t>
            </w:r>
          </w:p>
        </w:tc>
      </w:tr>
    </w:tbl>
    <w:p w14:paraId="31C8C06D" w14:textId="77777777" w:rsidR="00356206" w:rsidRDefault="00356206" w:rsidP="00356206">
      <w:pPr>
        <w:pStyle w:val="BodyText"/>
      </w:pPr>
    </w:p>
    <w:p w14:paraId="31C8C06E" w14:textId="77777777" w:rsidR="00356206" w:rsidRPr="00356206" w:rsidRDefault="00356206" w:rsidP="00356206">
      <w:pPr>
        <w:pStyle w:val="BodyText"/>
      </w:pPr>
    </w:p>
    <w:p w14:paraId="31C8C06F" w14:textId="77777777" w:rsidR="0000258D" w:rsidRPr="003E1A05" w:rsidRDefault="00BB1DD0" w:rsidP="00CB4519">
      <w:pPr>
        <w:pStyle w:val="Caption"/>
        <w:rPr>
          <w:b/>
          <w:color w:val="000000" w:themeColor="text1"/>
        </w:rPr>
      </w:pPr>
      <w:bookmarkStart w:id="107" w:name="_Ref507708678"/>
      <w:bookmarkStart w:id="108" w:name="_Toc509991058"/>
      <w:r>
        <w:lastRenderedPageBreak/>
        <w:t>App</w:t>
      </w:r>
      <w:r w:rsidR="00CB4519">
        <w:t xml:space="preserve"> Table </w:t>
      </w:r>
      <w:r w:rsidR="00085933">
        <w:fldChar w:fldCharType="begin"/>
      </w:r>
      <w:r w:rsidR="00085933">
        <w:instrText xml:space="preserve"> SEQ Apx_Table \* ARABIC </w:instrText>
      </w:r>
      <w:r w:rsidR="00085933">
        <w:fldChar w:fldCharType="separate"/>
      </w:r>
      <w:r w:rsidR="00E96B43">
        <w:rPr>
          <w:noProof/>
        </w:rPr>
        <w:t>6</w:t>
      </w:r>
      <w:r w:rsidR="00085933">
        <w:rPr>
          <w:noProof/>
        </w:rPr>
        <w:fldChar w:fldCharType="end"/>
      </w:r>
      <w:bookmarkEnd w:id="107"/>
      <w:r w:rsidR="0000258D" w:rsidRPr="003E1A05">
        <w:rPr>
          <w:color w:val="000000" w:themeColor="text1"/>
        </w:rPr>
        <w:t xml:space="preserve">. Maximum root depth of Australian vegetation species. </w:t>
      </w:r>
      <w:r w:rsidR="00A82B26">
        <w:rPr>
          <w:color w:val="000000" w:themeColor="text1"/>
        </w:rPr>
        <w:t xml:space="preserve">SOURCE: </w:t>
      </w:r>
      <w:proofErr w:type="spellStart"/>
      <w:r w:rsidR="0000258D" w:rsidRPr="003E1A05">
        <w:rPr>
          <w:color w:val="000000" w:themeColor="text1"/>
        </w:rPr>
        <w:t>Canadell</w:t>
      </w:r>
      <w:proofErr w:type="spellEnd"/>
      <w:r w:rsidR="0000258D" w:rsidRPr="003E1A05">
        <w:rPr>
          <w:color w:val="000000" w:themeColor="text1"/>
        </w:rPr>
        <w:t xml:space="preserve"> et al., 1996</w:t>
      </w:r>
      <w:bookmarkEnd w:id="108"/>
    </w:p>
    <w:tbl>
      <w:tblPr>
        <w:tblStyle w:val="TableCSIRO"/>
        <w:tblW w:w="7402" w:type="dxa"/>
        <w:jc w:val="center"/>
        <w:tblInd w:w="0" w:type="dxa"/>
        <w:tblLook w:val="04A0" w:firstRow="1" w:lastRow="0" w:firstColumn="1" w:lastColumn="0" w:noHBand="0" w:noVBand="1"/>
      </w:tblPr>
      <w:tblGrid>
        <w:gridCol w:w="2435"/>
        <w:gridCol w:w="994"/>
        <w:gridCol w:w="2698"/>
        <w:gridCol w:w="1275"/>
      </w:tblGrid>
      <w:tr w:rsidR="00A82B26" w:rsidRPr="008B25B9" w14:paraId="31C8C074" w14:textId="77777777" w:rsidTr="004047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70" w14:textId="77777777" w:rsidR="00A82B26" w:rsidRPr="008B25B9" w:rsidRDefault="00A82B26" w:rsidP="0000258D">
            <w:pPr>
              <w:keepNext/>
              <w:keepLines/>
              <w:spacing w:after="0"/>
              <w:jc w:val="center"/>
              <w:rPr>
                <w:rFonts w:eastAsia="Times New Roman"/>
                <w:b w:val="0"/>
                <w:color w:val="000000" w:themeColor="text1"/>
                <w:sz w:val="18"/>
                <w:szCs w:val="18"/>
              </w:rPr>
            </w:pPr>
            <w:r w:rsidRPr="00D345A9">
              <w:rPr>
                <w:rFonts w:eastAsia="Times New Roman"/>
                <w:color w:val="FFFFFF" w:themeColor="background1"/>
                <w:sz w:val="18"/>
                <w:szCs w:val="18"/>
              </w:rPr>
              <w:t>Species</w:t>
            </w:r>
          </w:p>
        </w:tc>
        <w:tc>
          <w:tcPr>
            <w:tcW w:w="994" w:type="dxa"/>
          </w:tcPr>
          <w:p w14:paraId="31C8C071" w14:textId="77777777" w:rsidR="00A82B26" w:rsidRPr="004153F6" w:rsidRDefault="00A82B26" w:rsidP="0000258D">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sz w:val="18"/>
                <w:szCs w:val="18"/>
              </w:rPr>
            </w:pPr>
            <w:r w:rsidRPr="004153F6">
              <w:rPr>
                <w:rFonts w:eastAsia="Times New Roman"/>
                <w:b w:val="0"/>
                <w:color w:val="FFFFFF" w:themeColor="background1"/>
                <w:sz w:val="18"/>
                <w:szCs w:val="18"/>
              </w:rPr>
              <w:t>Max  root depth (m)</w:t>
            </w:r>
          </w:p>
        </w:tc>
        <w:tc>
          <w:tcPr>
            <w:tcW w:w="2698" w:type="dxa"/>
          </w:tcPr>
          <w:p w14:paraId="31C8C072" w14:textId="77777777" w:rsidR="00A82B26" w:rsidRPr="008B25B9" w:rsidRDefault="00A82B26" w:rsidP="0000258D">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8"/>
                <w:szCs w:val="18"/>
              </w:rPr>
            </w:pPr>
            <w:proofErr w:type="spellStart"/>
            <w:r w:rsidRPr="008B25B9">
              <w:rPr>
                <w:rFonts w:eastAsia="Times New Roman"/>
                <w:b w:val="0"/>
                <w:color w:val="000000" w:themeColor="text1"/>
                <w:sz w:val="18"/>
                <w:szCs w:val="18"/>
              </w:rPr>
              <w:t>Spe</w:t>
            </w:r>
            <w:proofErr w:type="spellEnd"/>
            <w:r w:rsidRPr="00D345A9">
              <w:rPr>
                <w:rFonts w:eastAsia="Times New Roman"/>
                <w:color w:val="FFFFFF" w:themeColor="background1"/>
                <w:sz w:val="18"/>
                <w:szCs w:val="18"/>
              </w:rPr>
              <w:t xml:space="preserve"> Species</w:t>
            </w:r>
            <w:r w:rsidRPr="008B25B9">
              <w:rPr>
                <w:rFonts w:eastAsia="Times New Roman"/>
                <w:b w:val="0"/>
                <w:color w:val="000000" w:themeColor="text1"/>
                <w:sz w:val="18"/>
                <w:szCs w:val="18"/>
              </w:rPr>
              <w:t xml:space="preserve"> </w:t>
            </w:r>
            <w:proofErr w:type="spellStart"/>
            <w:r w:rsidRPr="008B25B9">
              <w:rPr>
                <w:rFonts w:eastAsia="Times New Roman"/>
                <w:b w:val="0"/>
                <w:color w:val="000000" w:themeColor="text1"/>
                <w:sz w:val="18"/>
                <w:szCs w:val="18"/>
              </w:rPr>
              <w:t>cies</w:t>
            </w:r>
            <w:proofErr w:type="spellEnd"/>
          </w:p>
        </w:tc>
        <w:tc>
          <w:tcPr>
            <w:tcW w:w="1275" w:type="dxa"/>
          </w:tcPr>
          <w:p w14:paraId="31C8C073" w14:textId="77777777" w:rsidR="00A82B26" w:rsidRPr="008B25B9" w:rsidRDefault="00A82B26" w:rsidP="0000258D">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8"/>
                <w:szCs w:val="18"/>
              </w:rPr>
            </w:pPr>
            <w:r w:rsidRPr="008B25B9">
              <w:rPr>
                <w:rFonts w:eastAsia="Times New Roman"/>
                <w:b w:val="0"/>
                <w:color w:val="FFFFFF" w:themeColor="background1"/>
                <w:sz w:val="18"/>
                <w:szCs w:val="18"/>
              </w:rPr>
              <w:t>Max  root depth (m)</w:t>
            </w:r>
            <w:r w:rsidRPr="008B25B9">
              <w:rPr>
                <w:rFonts w:eastAsia="Times New Roman"/>
                <w:b w:val="0"/>
                <w:color w:val="000000" w:themeColor="text1"/>
                <w:sz w:val="18"/>
                <w:szCs w:val="18"/>
              </w:rPr>
              <w:t>T Depth</w:t>
            </w:r>
          </w:p>
        </w:tc>
      </w:tr>
      <w:tr w:rsidR="00A82B26" w:rsidRPr="008B25B9" w14:paraId="31C8C079"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75" w14:textId="77777777" w:rsidR="00A82B26" w:rsidRPr="008B25B9" w:rsidRDefault="00A82B26" w:rsidP="004153F6">
            <w:pPr>
              <w:keepNext/>
              <w:keepLines/>
              <w:spacing w:after="0"/>
              <w:rPr>
                <w:rFonts w:eastAsia="Times New Roman"/>
                <w:b w:val="0"/>
                <w:i/>
                <w:color w:val="000000" w:themeColor="text1"/>
                <w:sz w:val="18"/>
                <w:szCs w:val="18"/>
              </w:rPr>
            </w:pPr>
            <w:r w:rsidRPr="008B25B9">
              <w:rPr>
                <w:b w:val="0"/>
                <w:i/>
                <w:color w:val="000000" w:themeColor="text1"/>
                <w:sz w:val="18"/>
                <w:szCs w:val="18"/>
              </w:rPr>
              <w:t xml:space="preserve">Banksia </w:t>
            </w:r>
            <w:proofErr w:type="spellStart"/>
            <w:r w:rsidRPr="008B25B9">
              <w:rPr>
                <w:b w:val="0"/>
                <w:i/>
                <w:color w:val="000000" w:themeColor="text1"/>
                <w:sz w:val="18"/>
                <w:szCs w:val="18"/>
              </w:rPr>
              <w:t>marginata</w:t>
            </w:r>
            <w:proofErr w:type="spellEnd"/>
          </w:p>
        </w:tc>
        <w:tc>
          <w:tcPr>
            <w:tcW w:w="994" w:type="dxa"/>
          </w:tcPr>
          <w:p w14:paraId="31C8C076"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2.4</w:t>
            </w:r>
          </w:p>
        </w:tc>
        <w:tc>
          <w:tcPr>
            <w:tcW w:w="2698" w:type="dxa"/>
          </w:tcPr>
          <w:p w14:paraId="31C8C077" w14:textId="77777777" w:rsidR="00A82B26" w:rsidRPr="008B25B9" w:rsidRDefault="00A82B26" w:rsidP="004153F6">
            <w:pPr>
              <w:keepNext/>
              <w:keepLines/>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proofErr w:type="spellStart"/>
            <w:r w:rsidRPr="008B25B9">
              <w:rPr>
                <w:i/>
                <w:color w:val="000000" w:themeColor="text1"/>
                <w:sz w:val="18"/>
                <w:szCs w:val="18"/>
              </w:rPr>
              <w:t>Jacksonia</w:t>
            </w:r>
            <w:proofErr w:type="spellEnd"/>
            <w:r w:rsidRPr="008B25B9">
              <w:rPr>
                <w:i/>
                <w:color w:val="000000" w:themeColor="text1"/>
                <w:sz w:val="18"/>
                <w:szCs w:val="18"/>
              </w:rPr>
              <w:t xml:space="preserve"> </w:t>
            </w:r>
            <w:proofErr w:type="spellStart"/>
            <w:r w:rsidRPr="008B25B9">
              <w:rPr>
                <w:i/>
                <w:color w:val="000000" w:themeColor="text1"/>
                <w:sz w:val="18"/>
                <w:szCs w:val="18"/>
              </w:rPr>
              <w:t>furcellata</w:t>
            </w:r>
            <w:proofErr w:type="spellEnd"/>
          </w:p>
        </w:tc>
        <w:tc>
          <w:tcPr>
            <w:tcW w:w="1275" w:type="dxa"/>
          </w:tcPr>
          <w:p w14:paraId="31C8C078"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w:t>
            </w:r>
          </w:p>
        </w:tc>
      </w:tr>
      <w:tr w:rsidR="00A82B26" w:rsidRPr="008B25B9" w14:paraId="31C8C07E"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7A" w14:textId="77777777" w:rsidR="00A82B26" w:rsidRPr="008B25B9" w:rsidRDefault="00A82B26" w:rsidP="004153F6">
            <w:pPr>
              <w:keepNext/>
              <w:keepLines/>
              <w:spacing w:after="0"/>
              <w:rPr>
                <w:rFonts w:eastAsia="Times New Roman"/>
                <w:b w:val="0"/>
                <w:i/>
                <w:color w:val="000000" w:themeColor="text1"/>
                <w:sz w:val="18"/>
                <w:szCs w:val="18"/>
              </w:rPr>
            </w:pPr>
            <w:r w:rsidRPr="008B25B9">
              <w:rPr>
                <w:b w:val="0"/>
                <w:i/>
                <w:color w:val="000000" w:themeColor="text1"/>
                <w:sz w:val="18"/>
                <w:szCs w:val="18"/>
              </w:rPr>
              <w:t xml:space="preserve">Banksia </w:t>
            </w:r>
            <w:proofErr w:type="spellStart"/>
            <w:r w:rsidRPr="008B25B9">
              <w:rPr>
                <w:b w:val="0"/>
                <w:i/>
                <w:color w:val="000000" w:themeColor="text1"/>
                <w:sz w:val="18"/>
                <w:szCs w:val="18"/>
              </w:rPr>
              <w:t>ornata</w:t>
            </w:r>
            <w:proofErr w:type="spellEnd"/>
          </w:p>
        </w:tc>
        <w:tc>
          <w:tcPr>
            <w:tcW w:w="994" w:type="dxa"/>
          </w:tcPr>
          <w:p w14:paraId="31C8C07B"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2.4</w:t>
            </w:r>
          </w:p>
        </w:tc>
        <w:tc>
          <w:tcPr>
            <w:tcW w:w="2698" w:type="dxa"/>
          </w:tcPr>
          <w:p w14:paraId="31C8C07C" w14:textId="77777777" w:rsidR="00A82B26" w:rsidRPr="008B25B9" w:rsidRDefault="00A82B26" w:rsidP="004153F6">
            <w:pPr>
              <w:keepNext/>
              <w:keepLines/>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proofErr w:type="spellStart"/>
            <w:r w:rsidRPr="008B25B9">
              <w:rPr>
                <w:i/>
                <w:color w:val="000000" w:themeColor="text1"/>
                <w:sz w:val="18"/>
                <w:szCs w:val="18"/>
              </w:rPr>
              <w:t>Laudonia</w:t>
            </w:r>
            <w:proofErr w:type="spellEnd"/>
            <w:r w:rsidRPr="008B25B9">
              <w:rPr>
                <w:i/>
                <w:color w:val="000000" w:themeColor="text1"/>
                <w:sz w:val="18"/>
                <w:szCs w:val="18"/>
              </w:rPr>
              <w:t xml:space="preserve"> </w:t>
            </w:r>
            <w:proofErr w:type="spellStart"/>
            <w:r w:rsidRPr="008B25B9">
              <w:rPr>
                <w:i/>
                <w:color w:val="000000" w:themeColor="text1"/>
                <w:sz w:val="18"/>
                <w:szCs w:val="18"/>
              </w:rPr>
              <w:t>behrii</w:t>
            </w:r>
            <w:proofErr w:type="spellEnd"/>
          </w:p>
        </w:tc>
        <w:tc>
          <w:tcPr>
            <w:tcW w:w="1275" w:type="dxa"/>
          </w:tcPr>
          <w:p w14:paraId="31C8C07D"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w:t>
            </w:r>
          </w:p>
        </w:tc>
      </w:tr>
      <w:tr w:rsidR="00A82B26" w:rsidRPr="008B25B9" w14:paraId="31C8C083"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7F" w14:textId="77777777" w:rsidR="00A82B26" w:rsidRPr="008B25B9" w:rsidRDefault="00A82B26" w:rsidP="004153F6">
            <w:pPr>
              <w:keepNext/>
              <w:keepLines/>
              <w:spacing w:after="0"/>
              <w:rPr>
                <w:rFonts w:eastAsia="Times New Roman"/>
                <w:b w:val="0"/>
                <w:i/>
                <w:color w:val="000000" w:themeColor="text1"/>
                <w:sz w:val="18"/>
                <w:szCs w:val="18"/>
              </w:rPr>
            </w:pPr>
            <w:proofErr w:type="spellStart"/>
            <w:r w:rsidRPr="008B25B9">
              <w:rPr>
                <w:b w:val="0"/>
                <w:i/>
                <w:color w:val="000000" w:themeColor="text1"/>
                <w:sz w:val="18"/>
                <w:szCs w:val="18"/>
              </w:rPr>
              <w:t>Calytrix</w:t>
            </w:r>
            <w:proofErr w:type="spellEnd"/>
            <w:r w:rsidRPr="008B25B9">
              <w:rPr>
                <w:b w:val="0"/>
                <w:i/>
                <w:color w:val="000000" w:themeColor="text1"/>
                <w:sz w:val="18"/>
                <w:szCs w:val="18"/>
              </w:rPr>
              <w:t xml:space="preserve"> </w:t>
            </w:r>
            <w:proofErr w:type="spellStart"/>
            <w:r w:rsidRPr="008B25B9">
              <w:rPr>
                <w:b w:val="0"/>
                <w:i/>
                <w:color w:val="000000" w:themeColor="text1"/>
                <w:sz w:val="18"/>
                <w:szCs w:val="18"/>
              </w:rPr>
              <w:t>flavescens</w:t>
            </w:r>
            <w:proofErr w:type="spellEnd"/>
          </w:p>
        </w:tc>
        <w:tc>
          <w:tcPr>
            <w:tcW w:w="994" w:type="dxa"/>
          </w:tcPr>
          <w:p w14:paraId="31C8C080"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w:t>
            </w:r>
          </w:p>
        </w:tc>
        <w:tc>
          <w:tcPr>
            <w:tcW w:w="2698" w:type="dxa"/>
          </w:tcPr>
          <w:p w14:paraId="31C8C081" w14:textId="77777777" w:rsidR="00A82B26" w:rsidRPr="008B25B9" w:rsidRDefault="00A82B26" w:rsidP="004153F6">
            <w:pPr>
              <w:keepNext/>
              <w:keepLines/>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i/>
                <w:color w:val="000000" w:themeColor="text1"/>
                <w:sz w:val="18"/>
                <w:szCs w:val="18"/>
              </w:rPr>
              <w:t>Leptosp</w:t>
            </w:r>
            <w:r>
              <w:rPr>
                <w:i/>
                <w:color w:val="000000" w:themeColor="text1"/>
                <w:sz w:val="18"/>
                <w:szCs w:val="18"/>
              </w:rPr>
              <w:t>er</w:t>
            </w:r>
            <w:r w:rsidRPr="008B25B9">
              <w:rPr>
                <w:i/>
                <w:color w:val="000000" w:themeColor="text1"/>
                <w:sz w:val="18"/>
                <w:szCs w:val="18"/>
              </w:rPr>
              <w:t xml:space="preserve">mum </w:t>
            </w:r>
            <w:proofErr w:type="spellStart"/>
            <w:r w:rsidRPr="008B25B9">
              <w:rPr>
                <w:i/>
                <w:color w:val="000000" w:themeColor="text1"/>
                <w:sz w:val="18"/>
                <w:szCs w:val="18"/>
              </w:rPr>
              <w:t>myrsinoides</w:t>
            </w:r>
            <w:proofErr w:type="spellEnd"/>
          </w:p>
        </w:tc>
        <w:tc>
          <w:tcPr>
            <w:tcW w:w="1275" w:type="dxa"/>
          </w:tcPr>
          <w:p w14:paraId="31C8C082"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2.3</w:t>
            </w:r>
          </w:p>
        </w:tc>
      </w:tr>
      <w:tr w:rsidR="00A82B26" w:rsidRPr="008B25B9" w14:paraId="31C8C088"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84" w14:textId="77777777" w:rsidR="00A82B26" w:rsidRPr="008B25B9" w:rsidRDefault="00A82B26" w:rsidP="004153F6">
            <w:pPr>
              <w:keepNext/>
              <w:keepLines/>
              <w:spacing w:after="0"/>
              <w:rPr>
                <w:rFonts w:eastAsia="Times New Roman"/>
                <w:b w:val="0"/>
                <w:i/>
                <w:color w:val="000000" w:themeColor="text1"/>
                <w:sz w:val="18"/>
                <w:szCs w:val="18"/>
              </w:rPr>
            </w:pPr>
            <w:r w:rsidRPr="008B25B9">
              <w:rPr>
                <w:b w:val="0"/>
                <w:i/>
                <w:color w:val="000000" w:themeColor="text1"/>
                <w:sz w:val="18"/>
                <w:szCs w:val="18"/>
              </w:rPr>
              <w:t xml:space="preserve">Casuarina </w:t>
            </w:r>
            <w:proofErr w:type="spellStart"/>
            <w:r w:rsidRPr="008B25B9">
              <w:rPr>
                <w:b w:val="0"/>
                <w:i/>
                <w:color w:val="000000" w:themeColor="text1"/>
                <w:sz w:val="18"/>
                <w:szCs w:val="18"/>
              </w:rPr>
              <w:t>muelleriana</w:t>
            </w:r>
            <w:proofErr w:type="spellEnd"/>
          </w:p>
        </w:tc>
        <w:tc>
          <w:tcPr>
            <w:tcW w:w="994" w:type="dxa"/>
          </w:tcPr>
          <w:p w14:paraId="31C8C085"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w:t>
            </w:r>
          </w:p>
        </w:tc>
        <w:tc>
          <w:tcPr>
            <w:tcW w:w="2698" w:type="dxa"/>
          </w:tcPr>
          <w:p w14:paraId="31C8C086" w14:textId="77777777" w:rsidR="00A82B26" w:rsidRPr="008B25B9" w:rsidRDefault="00A82B26" w:rsidP="004153F6">
            <w:pPr>
              <w:keepNext/>
              <w:keepLines/>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8B25B9">
              <w:rPr>
                <w:i/>
                <w:color w:val="000000" w:themeColor="text1"/>
                <w:sz w:val="18"/>
                <w:szCs w:val="18"/>
              </w:rPr>
              <w:t xml:space="preserve">Melaleuca </w:t>
            </w:r>
            <w:proofErr w:type="spellStart"/>
            <w:r w:rsidRPr="008B25B9">
              <w:rPr>
                <w:i/>
                <w:color w:val="000000" w:themeColor="text1"/>
                <w:sz w:val="18"/>
                <w:szCs w:val="18"/>
              </w:rPr>
              <w:t>scabra</w:t>
            </w:r>
            <w:proofErr w:type="spellEnd"/>
          </w:p>
        </w:tc>
        <w:tc>
          <w:tcPr>
            <w:tcW w:w="1275" w:type="dxa"/>
          </w:tcPr>
          <w:p w14:paraId="31C8C087"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w:t>
            </w:r>
          </w:p>
        </w:tc>
      </w:tr>
      <w:tr w:rsidR="00A82B26" w:rsidRPr="008B25B9" w14:paraId="31C8C08D"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89" w14:textId="77777777" w:rsidR="00A82B26" w:rsidRPr="008B25B9" w:rsidRDefault="00A82B26" w:rsidP="004153F6">
            <w:pPr>
              <w:keepNext/>
              <w:keepLines/>
              <w:spacing w:after="0"/>
              <w:rPr>
                <w:rFonts w:eastAsia="Times New Roman"/>
                <w:b w:val="0"/>
                <w:i/>
                <w:color w:val="000000" w:themeColor="text1"/>
                <w:sz w:val="18"/>
                <w:szCs w:val="18"/>
              </w:rPr>
            </w:pPr>
            <w:r w:rsidRPr="008B25B9">
              <w:rPr>
                <w:b w:val="0"/>
                <w:i/>
                <w:color w:val="000000" w:themeColor="text1"/>
                <w:sz w:val="18"/>
                <w:szCs w:val="18"/>
              </w:rPr>
              <w:t xml:space="preserve">Casuarina </w:t>
            </w:r>
            <w:proofErr w:type="spellStart"/>
            <w:r w:rsidRPr="008B25B9">
              <w:rPr>
                <w:b w:val="0"/>
                <w:i/>
                <w:color w:val="000000" w:themeColor="text1"/>
                <w:sz w:val="18"/>
                <w:szCs w:val="18"/>
              </w:rPr>
              <w:t>pusilla</w:t>
            </w:r>
            <w:proofErr w:type="spellEnd"/>
          </w:p>
        </w:tc>
        <w:tc>
          <w:tcPr>
            <w:tcW w:w="994" w:type="dxa"/>
          </w:tcPr>
          <w:p w14:paraId="31C8C08A"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2.4</w:t>
            </w:r>
          </w:p>
        </w:tc>
        <w:tc>
          <w:tcPr>
            <w:tcW w:w="2698" w:type="dxa"/>
          </w:tcPr>
          <w:p w14:paraId="31C8C08B" w14:textId="77777777" w:rsidR="00A82B26" w:rsidRPr="008B25B9" w:rsidRDefault="00A82B26" w:rsidP="004153F6">
            <w:pPr>
              <w:keepNext/>
              <w:keepLines/>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i/>
                <w:color w:val="000000" w:themeColor="text1"/>
                <w:sz w:val="18"/>
                <w:szCs w:val="18"/>
              </w:rPr>
              <w:t xml:space="preserve">Melaleuca </w:t>
            </w:r>
            <w:proofErr w:type="spellStart"/>
            <w:r w:rsidRPr="008B25B9">
              <w:rPr>
                <w:i/>
                <w:color w:val="000000" w:themeColor="text1"/>
                <w:sz w:val="18"/>
                <w:szCs w:val="18"/>
              </w:rPr>
              <w:t>seriata</w:t>
            </w:r>
            <w:proofErr w:type="spellEnd"/>
          </w:p>
        </w:tc>
        <w:tc>
          <w:tcPr>
            <w:tcW w:w="1275" w:type="dxa"/>
          </w:tcPr>
          <w:p w14:paraId="31C8C08C"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2.1</w:t>
            </w:r>
          </w:p>
        </w:tc>
      </w:tr>
      <w:tr w:rsidR="00A82B26" w:rsidRPr="008B25B9" w14:paraId="31C8C092"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8E" w14:textId="77777777" w:rsidR="00A82B26" w:rsidRPr="008B25B9" w:rsidRDefault="00A82B26" w:rsidP="004153F6">
            <w:pPr>
              <w:keepNext/>
              <w:keepLines/>
              <w:spacing w:after="0"/>
              <w:rPr>
                <w:rFonts w:eastAsia="Times New Roman"/>
                <w:b w:val="0"/>
                <w:i/>
                <w:color w:val="000000" w:themeColor="text1"/>
                <w:sz w:val="18"/>
                <w:szCs w:val="18"/>
              </w:rPr>
            </w:pPr>
            <w:proofErr w:type="spellStart"/>
            <w:r w:rsidRPr="008B25B9">
              <w:rPr>
                <w:b w:val="0"/>
                <w:i/>
                <w:color w:val="000000" w:themeColor="text1"/>
                <w:sz w:val="18"/>
                <w:szCs w:val="18"/>
              </w:rPr>
              <w:t>Daviesia</w:t>
            </w:r>
            <w:proofErr w:type="spellEnd"/>
            <w:r w:rsidRPr="008B25B9">
              <w:rPr>
                <w:b w:val="0"/>
                <w:i/>
                <w:color w:val="000000" w:themeColor="text1"/>
                <w:sz w:val="18"/>
                <w:szCs w:val="18"/>
              </w:rPr>
              <w:t xml:space="preserve"> </w:t>
            </w:r>
            <w:proofErr w:type="spellStart"/>
            <w:r w:rsidRPr="008B25B9">
              <w:rPr>
                <w:b w:val="0"/>
                <w:i/>
                <w:color w:val="000000" w:themeColor="text1"/>
                <w:sz w:val="18"/>
                <w:szCs w:val="18"/>
              </w:rPr>
              <w:t>brevifolia</w:t>
            </w:r>
            <w:proofErr w:type="spellEnd"/>
          </w:p>
        </w:tc>
        <w:tc>
          <w:tcPr>
            <w:tcW w:w="994" w:type="dxa"/>
          </w:tcPr>
          <w:p w14:paraId="31C8C08F"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w:t>
            </w:r>
          </w:p>
        </w:tc>
        <w:tc>
          <w:tcPr>
            <w:tcW w:w="2698" w:type="dxa"/>
          </w:tcPr>
          <w:p w14:paraId="31C8C090" w14:textId="77777777" w:rsidR="00A82B26" w:rsidRPr="008B25B9" w:rsidRDefault="00A82B26" w:rsidP="004153F6">
            <w:pPr>
              <w:keepNext/>
              <w:keepLines/>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proofErr w:type="spellStart"/>
            <w:r w:rsidRPr="008B25B9">
              <w:rPr>
                <w:i/>
                <w:color w:val="000000" w:themeColor="text1"/>
                <w:sz w:val="18"/>
                <w:szCs w:val="18"/>
              </w:rPr>
              <w:t>Petrophile</w:t>
            </w:r>
            <w:proofErr w:type="spellEnd"/>
            <w:r w:rsidRPr="008B25B9">
              <w:rPr>
                <w:i/>
                <w:color w:val="000000" w:themeColor="text1"/>
                <w:sz w:val="18"/>
                <w:szCs w:val="18"/>
              </w:rPr>
              <w:t xml:space="preserve"> </w:t>
            </w:r>
            <w:proofErr w:type="spellStart"/>
            <w:r w:rsidRPr="008B25B9">
              <w:rPr>
                <w:i/>
                <w:color w:val="000000" w:themeColor="text1"/>
                <w:sz w:val="18"/>
                <w:szCs w:val="18"/>
              </w:rPr>
              <w:t>linearis</w:t>
            </w:r>
            <w:proofErr w:type="spellEnd"/>
          </w:p>
        </w:tc>
        <w:tc>
          <w:tcPr>
            <w:tcW w:w="1275" w:type="dxa"/>
          </w:tcPr>
          <w:p w14:paraId="31C8C091"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w:t>
            </w:r>
          </w:p>
        </w:tc>
      </w:tr>
      <w:tr w:rsidR="00A82B26" w:rsidRPr="008B25B9" w14:paraId="31C8C097"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93" w14:textId="77777777" w:rsidR="00A82B26" w:rsidRPr="008B25B9" w:rsidRDefault="00A82B26" w:rsidP="004153F6">
            <w:pPr>
              <w:keepNext/>
              <w:keepLines/>
              <w:spacing w:after="0"/>
              <w:rPr>
                <w:rFonts w:eastAsia="Times New Roman"/>
                <w:b w:val="0"/>
                <w:i/>
                <w:color w:val="000000" w:themeColor="text1"/>
                <w:sz w:val="18"/>
                <w:szCs w:val="18"/>
              </w:rPr>
            </w:pPr>
            <w:proofErr w:type="spellStart"/>
            <w:r w:rsidRPr="008B25B9">
              <w:rPr>
                <w:b w:val="0"/>
                <w:i/>
                <w:color w:val="000000" w:themeColor="text1"/>
                <w:sz w:val="18"/>
                <w:szCs w:val="18"/>
              </w:rPr>
              <w:t>Eremaea</w:t>
            </w:r>
            <w:proofErr w:type="spellEnd"/>
            <w:r w:rsidRPr="008B25B9">
              <w:rPr>
                <w:b w:val="0"/>
                <w:i/>
                <w:color w:val="000000" w:themeColor="text1"/>
                <w:sz w:val="18"/>
                <w:szCs w:val="18"/>
              </w:rPr>
              <w:t xml:space="preserve"> </w:t>
            </w:r>
            <w:proofErr w:type="spellStart"/>
            <w:r w:rsidRPr="008B25B9">
              <w:rPr>
                <w:b w:val="0"/>
                <w:i/>
                <w:color w:val="000000" w:themeColor="text1"/>
                <w:sz w:val="18"/>
                <w:szCs w:val="18"/>
              </w:rPr>
              <w:t>beaufortioides</w:t>
            </w:r>
            <w:proofErr w:type="spellEnd"/>
          </w:p>
        </w:tc>
        <w:tc>
          <w:tcPr>
            <w:tcW w:w="994" w:type="dxa"/>
          </w:tcPr>
          <w:p w14:paraId="31C8C094"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B25B9">
              <w:rPr>
                <w:color w:val="000000" w:themeColor="text1"/>
                <w:sz w:val="18"/>
                <w:szCs w:val="18"/>
              </w:rPr>
              <w:t>6</w:t>
            </w:r>
          </w:p>
        </w:tc>
        <w:tc>
          <w:tcPr>
            <w:tcW w:w="2698" w:type="dxa"/>
          </w:tcPr>
          <w:p w14:paraId="31C8C095" w14:textId="77777777" w:rsidR="00A82B26" w:rsidRPr="008B25B9" w:rsidRDefault="00A82B26" w:rsidP="004153F6">
            <w:pPr>
              <w:keepNext/>
              <w:keepLines/>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proofErr w:type="spellStart"/>
            <w:r w:rsidRPr="008B25B9">
              <w:rPr>
                <w:i/>
                <w:color w:val="000000" w:themeColor="text1"/>
                <w:sz w:val="18"/>
                <w:szCs w:val="18"/>
              </w:rPr>
              <w:t>Phyllota</w:t>
            </w:r>
            <w:proofErr w:type="spellEnd"/>
            <w:r w:rsidRPr="008B25B9">
              <w:rPr>
                <w:i/>
                <w:color w:val="000000" w:themeColor="text1"/>
                <w:sz w:val="18"/>
                <w:szCs w:val="18"/>
              </w:rPr>
              <w:t xml:space="preserve"> </w:t>
            </w:r>
            <w:proofErr w:type="spellStart"/>
            <w:r w:rsidRPr="008B25B9">
              <w:rPr>
                <w:i/>
                <w:color w:val="000000" w:themeColor="text1"/>
                <w:sz w:val="18"/>
                <w:szCs w:val="18"/>
              </w:rPr>
              <w:t>pleurandroides</w:t>
            </w:r>
            <w:proofErr w:type="spellEnd"/>
          </w:p>
        </w:tc>
        <w:tc>
          <w:tcPr>
            <w:tcW w:w="1275" w:type="dxa"/>
          </w:tcPr>
          <w:p w14:paraId="31C8C096"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2.3</w:t>
            </w:r>
          </w:p>
        </w:tc>
      </w:tr>
      <w:tr w:rsidR="00A82B26" w:rsidRPr="008B25B9" w14:paraId="31C8C09C"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98" w14:textId="77777777" w:rsidR="00A82B26" w:rsidRPr="008B25B9" w:rsidRDefault="00A82B26" w:rsidP="004153F6">
            <w:pPr>
              <w:keepNext/>
              <w:keepLines/>
              <w:spacing w:after="0"/>
              <w:rPr>
                <w:b w:val="0"/>
                <w:bCs w:val="0"/>
                <w:i/>
                <w:color w:val="000000" w:themeColor="text1"/>
                <w:sz w:val="18"/>
                <w:szCs w:val="18"/>
              </w:rPr>
            </w:pPr>
            <w:proofErr w:type="spellStart"/>
            <w:r w:rsidRPr="008B25B9">
              <w:rPr>
                <w:b w:val="0"/>
                <w:i/>
                <w:color w:val="000000" w:themeColor="text1"/>
                <w:sz w:val="18"/>
                <w:szCs w:val="18"/>
              </w:rPr>
              <w:t>Eremaea</w:t>
            </w:r>
            <w:proofErr w:type="spellEnd"/>
            <w:r w:rsidRPr="008B25B9">
              <w:rPr>
                <w:b w:val="0"/>
                <w:i/>
                <w:color w:val="000000" w:themeColor="text1"/>
                <w:sz w:val="18"/>
                <w:szCs w:val="18"/>
              </w:rPr>
              <w:t xml:space="preserve"> </w:t>
            </w:r>
            <w:proofErr w:type="spellStart"/>
            <w:r w:rsidRPr="008B25B9">
              <w:rPr>
                <w:b w:val="0"/>
                <w:i/>
                <w:color w:val="000000" w:themeColor="text1"/>
                <w:sz w:val="18"/>
                <w:szCs w:val="18"/>
              </w:rPr>
              <w:t>pauciflora</w:t>
            </w:r>
            <w:proofErr w:type="spellEnd"/>
          </w:p>
        </w:tc>
        <w:tc>
          <w:tcPr>
            <w:tcW w:w="994" w:type="dxa"/>
          </w:tcPr>
          <w:p w14:paraId="31C8C099"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B25B9">
              <w:rPr>
                <w:color w:val="000000" w:themeColor="text1"/>
                <w:sz w:val="18"/>
                <w:szCs w:val="18"/>
              </w:rPr>
              <w:t>2.4</w:t>
            </w:r>
          </w:p>
        </w:tc>
        <w:tc>
          <w:tcPr>
            <w:tcW w:w="2698" w:type="dxa"/>
          </w:tcPr>
          <w:p w14:paraId="31C8C09A" w14:textId="77777777" w:rsidR="00A82B26" w:rsidRPr="008B25B9" w:rsidRDefault="00A82B26" w:rsidP="004153F6">
            <w:pPr>
              <w:keepNext/>
              <w:keepLines/>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proofErr w:type="spellStart"/>
            <w:r w:rsidRPr="008B25B9">
              <w:rPr>
                <w:i/>
                <w:color w:val="000000" w:themeColor="text1"/>
                <w:sz w:val="18"/>
                <w:szCs w:val="18"/>
              </w:rPr>
              <w:t>Phyllota</w:t>
            </w:r>
            <w:proofErr w:type="spellEnd"/>
            <w:r w:rsidRPr="008B25B9">
              <w:rPr>
                <w:i/>
                <w:color w:val="000000" w:themeColor="text1"/>
                <w:sz w:val="18"/>
                <w:szCs w:val="18"/>
              </w:rPr>
              <w:t xml:space="preserve"> </w:t>
            </w:r>
            <w:proofErr w:type="spellStart"/>
            <w:r w:rsidRPr="008B25B9">
              <w:rPr>
                <w:i/>
                <w:color w:val="000000" w:themeColor="text1"/>
                <w:sz w:val="18"/>
                <w:szCs w:val="18"/>
              </w:rPr>
              <w:t>remota</w:t>
            </w:r>
            <w:proofErr w:type="spellEnd"/>
          </w:p>
        </w:tc>
        <w:tc>
          <w:tcPr>
            <w:tcW w:w="1275" w:type="dxa"/>
          </w:tcPr>
          <w:p w14:paraId="31C8C09B"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2.4</w:t>
            </w:r>
          </w:p>
        </w:tc>
      </w:tr>
      <w:tr w:rsidR="00A82B26" w:rsidRPr="008B25B9" w14:paraId="31C8C0A1"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9D" w14:textId="77777777" w:rsidR="00A82B26" w:rsidRPr="008B25B9" w:rsidRDefault="00A82B26" w:rsidP="004153F6">
            <w:pPr>
              <w:keepNext/>
              <w:keepLines/>
              <w:spacing w:after="0"/>
              <w:rPr>
                <w:b w:val="0"/>
                <w:bCs w:val="0"/>
                <w:i/>
                <w:color w:val="000000" w:themeColor="text1"/>
                <w:sz w:val="18"/>
                <w:szCs w:val="18"/>
              </w:rPr>
            </w:pPr>
            <w:r w:rsidRPr="008B25B9">
              <w:rPr>
                <w:b w:val="0"/>
                <w:i/>
                <w:color w:val="000000" w:themeColor="text1"/>
                <w:sz w:val="18"/>
                <w:szCs w:val="18"/>
              </w:rPr>
              <w:t xml:space="preserve">Eucalyptus </w:t>
            </w:r>
            <w:proofErr w:type="spellStart"/>
            <w:r w:rsidRPr="008B25B9">
              <w:rPr>
                <w:b w:val="0"/>
                <w:i/>
                <w:color w:val="000000" w:themeColor="text1"/>
                <w:sz w:val="18"/>
                <w:szCs w:val="18"/>
              </w:rPr>
              <w:t>grandis</w:t>
            </w:r>
            <w:proofErr w:type="spellEnd"/>
            <w:r>
              <w:rPr>
                <w:b w:val="0"/>
                <w:i/>
                <w:color w:val="000000" w:themeColor="text1"/>
                <w:sz w:val="18"/>
                <w:szCs w:val="18"/>
              </w:rPr>
              <w:t>*</w:t>
            </w:r>
          </w:p>
        </w:tc>
        <w:tc>
          <w:tcPr>
            <w:tcW w:w="994" w:type="dxa"/>
          </w:tcPr>
          <w:p w14:paraId="31C8C09E"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B25B9">
              <w:rPr>
                <w:color w:val="000000" w:themeColor="text1"/>
                <w:sz w:val="18"/>
                <w:szCs w:val="18"/>
              </w:rPr>
              <w:t>15.8</w:t>
            </w:r>
          </w:p>
        </w:tc>
        <w:tc>
          <w:tcPr>
            <w:tcW w:w="2698" w:type="dxa"/>
          </w:tcPr>
          <w:p w14:paraId="31C8C09F" w14:textId="77777777" w:rsidR="00A82B26" w:rsidRPr="008B25B9" w:rsidRDefault="00A82B26" w:rsidP="004153F6">
            <w:pPr>
              <w:keepNext/>
              <w:keepLines/>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proofErr w:type="spellStart"/>
            <w:r w:rsidRPr="008B25B9">
              <w:rPr>
                <w:i/>
                <w:color w:val="000000" w:themeColor="text1"/>
                <w:sz w:val="18"/>
                <w:szCs w:val="18"/>
              </w:rPr>
              <w:t>Pinus</w:t>
            </w:r>
            <w:proofErr w:type="spellEnd"/>
            <w:r w:rsidRPr="008B25B9">
              <w:rPr>
                <w:i/>
                <w:color w:val="000000" w:themeColor="text1"/>
                <w:sz w:val="18"/>
                <w:szCs w:val="18"/>
              </w:rPr>
              <w:t xml:space="preserve"> </w:t>
            </w:r>
            <w:proofErr w:type="spellStart"/>
            <w:r w:rsidRPr="008B25B9">
              <w:rPr>
                <w:i/>
                <w:color w:val="000000" w:themeColor="text1"/>
                <w:sz w:val="18"/>
                <w:szCs w:val="18"/>
              </w:rPr>
              <w:t>pinaster</w:t>
            </w:r>
            <w:proofErr w:type="spellEnd"/>
          </w:p>
        </w:tc>
        <w:tc>
          <w:tcPr>
            <w:tcW w:w="1275" w:type="dxa"/>
          </w:tcPr>
          <w:p w14:paraId="31C8C0A0"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7</w:t>
            </w:r>
          </w:p>
        </w:tc>
      </w:tr>
      <w:tr w:rsidR="00A82B26" w:rsidRPr="008B25B9" w14:paraId="31C8C0A6"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A2" w14:textId="77777777" w:rsidR="00A82B26" w:rsidRPr="008B25B9" w:rsidRDefault="00A82B26" w:rsidP="004153F6">
            <w:pPr>
              <w:keepNext/>
              <w:keepLines/>
              <w:spacing w:after="0"/>
              <w:rPr>
                <w:b w:val="0"/>
                <w:bCs w:val="0"/>
                <w:i/>
                <w:color w:val="000000" w:themeColor="text1"/>
                <w:sz w:val="18"/>
                <w:szCs w:val="18"/>
              </w:rPr>
            </w:pPr>
            <w:r w:rsidRPr="008B25B9">
              <w:rPr>
                <w:b w:val="0"/>
                <w:i/>
                <w:color w:val="000000" w:themeColor="text1"/>
                <w:sz w:val="18"/>
                <w:szCs w:val="18"/>
              </w:rPr>
              <w:t xml:space="preserve">Eucalyptus </w:t>
            </w:r>
            <w:proofErr w:type="spellStart"/>
            <w:r w:rsidRPr="008B25B9">
              <w:rPr>
                <w:b w:val="0"/>
                <w:i/>
                <w:color w:val="000000" w:themeColor="text1"/>
                <w:sz w:val="18"/>
                <w:szCs w:val="18"/>
              </w:rPr>
              <w:t>marginata</w:t>
            </w:r>
            <w:proofErr w:type="spellEnd"/>
          </w:p>
        </w:tc>
        <w:tc>
          <w:tcPr>
            <w:tcW w:w="994" w:type="dxa"/>
          </w:tcPr>
          <w:p w14:paraId="31C8C0A3"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B25B9">
              <w:rPr>
                <w:color w:val="000000" w:themeColor="text1"/>
                <w:sz w:val="18"/>
                <w:szCs w:val="18"/>
              </w:rPr>
              <w:t>40</w:t>
            </w:r>
          </w:p>
        </w:tc>
        <w:tc>
          <w:tcPr>
            <w:tcW w:w="2698" w:type="dxa"/>
          </w:tcPr>
          <w:p w14:paraId="31C8C0A4" w14:textId="77777777" w:rsidR="00A82B26" w:rsidRPr="008B25B9" w:rsidRDefault="00A82B26" w:rsidP="004153F6">
            <w:pPr>
              <w:keepNext/>
              <w:keepLines/>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proofErr w:type="spellStart"/>
            <w:r w:rsidRPr="008B25B9">
              <w:rPr>
                <w:i/>
                <w:color w:val="000000" w:themeColor="text1"/>
                <w:sz w:val="18"/>
                <w:szCs w:val="18"/>
              </w:rPr>
              <w:t>Pinus</w:t>
            </w:r>
            <w:proofErr w:type="spellEnd"/>
            <w:r w:rsidRPr="008B25B9">
              <w:rPr>
                <w:i/>
                <w:color w:val="000000" w:themeColor="text1"/>
                <w:sz w:val="18"/>
                <w:szCs w:val="18"/>
              </w:rPr>
              <w:t xml:space="preserve"> </w:t>
            </w:r>
            <w:proofErr w:type="spellStart"/>
            <w:r w:rsidRPr="008B25B9">
              <w:rPr>
                <w:i/>
                <w:color w:val="000000" w:themeColor="text1"/>
                <w:sz w:val="18"/>
                <w:szCs w:val="18"/>
              </w:rPr>
              <w:t>radiata</w:t>
            </w:r>
            <w:proofErr w:type="spellEnd"/>
          </w:p>
        </w:tc>
        <w:tc>
          <w:tcPr>
            <w:tcW w:w="1275" w:type="dxa"/>
          </w:tcPr>
          <w:p w14:paraId="31C8C0A5"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10-15</w:t>
            </w:r>
          </w:p>
        </w:tc>
      </w:tr>
      <w:tr w:rsidR="00A82B26" w:rsidRPr="008B25B9" w14:paraId="31C8C0AB"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A7" w14:textId="77777777" w:rsidR="00A82B26" w:rsidRPr="008B25B9" w:rsidRDefault="00A82B26" w:rsidP="004153F6">
            <w:pPr>
              <w:keepNext/>
              <w:keepLines/>
              <w:spacing w:after="0"/>
              <w:rPr>
                <w:b w:val="0"/>
                <w:i/>
                <w:color w:val="000000" w:themeColor="text1"/>
                <w:sz w:val="18"/>
                <w:szCs w:val="18"/>
              </w:rPr>
            </w:pPr>
            <w:r w:rsidRPr="008B25B9">
              <w:rPr>
                <w:b w:val="0"/>
                <w:i/>
                <w:color w:val="000000" w:themeColor="text1"/>
                <w:sz w:val="18"/>
                <w:szCs w:val="18"/>
              </w:rPr>
              <w:t xml:space="preserve">Eucalyptus </w:t>
            </w:r>
            <w:proofErr w:type="spellStart"/>
            <w:r w:rsidRPr="008B25B9">
              <w:rPr>
                <w:b w:val="0"/>
                <w:i/>
                <w:color w:val="000000" w:themeColor="text1"/>
                <w:sz w:val="18"/>
                <w:szCs w:val="18"/>
              </w:rPr>
              <w:t>regnans</w:t>
            </w:r>
            <w:proofErr w:type="spellEnd"/>
          </w:p>
        </w:tc>
        <w:tc>
          <w:tcPr>
            <w:tcW w:w="994" w:type="dxa"/>
          </w:tcPr>
          <w:p w14:paraId="31C8C0A8"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B25B9">
              <w:rPr>
                <w:color w:val="000000" w:themeColor="text1"/>
                <w:sz w:val="18"/>
                <w:szCs w:val="18"/>
              </w:rPr>
              <w:t>2.7</w:t>
            </w:r>
          </w:p>
        </w:tc>
        <w:tc>
          <w:tcPr>
            <w:tcW w:w="2698" w:type="dxa"/>
          </w:tcPr>
          <w:p w14:paraId="31C8C0A9" w14:textId="77777777" w:rsidR="00A82B26" w:rsidRPr="008B25B9" w:rsidRDefault="00A82B26" w:rsidP="004153F6">
            <w:pPr>
              <w:keepNext/>
              <w:keepLines/>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proofErr w:type="spellStart"/>
            <w:r w:rsidRPr="008B25B9">
              <w:rPr>
                <w:i/>
                <w:color w:val="000000" w:themeColor="text1"/>
                <w:sz w:val="18"/>
                <w:szCs w:val="18"/>
              </w:rPr>
              <w:t>Scholtzia</w:t>
            </w:r>
            <w:proofErr w:type="spellEnd"/>
            <w:r w:rsidRPr="008B25B9">
              <w:rPr>
                <w:i/>
                <w:color w:val="000000" w:themeColor="text1"/>
                <w:sz w:val="18"/>
                <w:szCs w:val="18"/>
              </w:rPr>
              <w:t xml:space="preserve"> </w:t>
            </w:r>
            <w:proofErr w:type="spellStart"/>
            <w:r w:rsidRPr="008B25B9">
              <w:rPr>
                <w:i/>
                <w:color w:val="000000" w:themeColor="text1"/>
                <w:sz w:val="18"/>
                <w:szCs w:val="18"/>
              </w:rPr>
              <w:t>involucrata</w:t>
            </w:r>
            <w:proofErr w:type="spellEnd"/>
          </w:p>
        </w:tc>
        <w:tc>
          <w:tcPr>
            <w:tcW w:w="1275" w:type="dxa"/>
          </w:tcPr>
          <w:p w14:paraId="31C8C0AA"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8B25B9">
              <w:rPr>
                <w:color w:val="000000" w:themeColor="text1"/>
                <w:sz w:val="18"/>
                <w:szCs w:val="18"/>
              </w:rPr>
              <w:t>1.9</w:t>
            </w:r>
          </w:p>
        </w:tc>
      </w:tr>
      <w:tr w:rsidR="00A82B26" w:rsidRPr="008B25B9" w14:paraId="31C8C0B0"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AC" w14:textId="77777777" w:rsidR="00A82B26" w:rsidRPr="008B25B9" w:rsidRDefault="00A82B26" w:rsidP="004153F6">
            <w:pPr>
              <w:keepNext/>
              <w:keepLines/>
              <w:spacing w:after="0"/>
              <w:rPr>
                <w:b w:val="0"/>
                <w:i/>
                <w:color w:val="000000" w:themeColor="text1"/>
                <w:sz w:val="18"/>
                <w:szCs w:val="18"/>
              </w:rPr>
            </w:pPr>
            <w:r w:rsidRPr="008B25B9">
              <w:rPr>
                <w:b w:val="0"/>
                <w:i/>
                <w:color w:val="000000" w:themeColor="text1"/>
                <w:sz w:val="18"/>
                <w:szCs w:val="18"/>
              </w:rPr>
              <w:t xml:space="preserve">Eucalyptus </w:t>
            </w:r>
            <w:proofErr w:type="spellStart"/>
            <w:r w:rsidRPr="008B25B9">
              <w:rPr>
                <w:b w:val="0"/>
                <w:i/>
                <w:color w:val="000000" w:themeColor="text1"/>
                <w:sz w:val="18"/>
                <w:szCs w:val="18"/>
              </w:rPr>
              <w:t>signata</w:t>
            </w:r>
            <w:proofErr w:type="spellEnd"/>
          </w:p>
        </w:tc>
        <w:tc>
          <w:tcPr>
            <w:tcW w:w="994" w:type="dxa"/>
          </w:tcPr>
          <w:p w14:paraId="31C8C0AD"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B25B9">
              <w:rPr>
                <w:color w:val="000000" w:themeColor="text1"/>
                <w:sz w:val="18"/>
                <w:szCs w:val="18"/>
              </w:rPr>
              <w:t>3</w:t>
            </w:r>
          </w:p>
        </w:tc>
        <w:tc>
          <w:tcPr>
            <w:tcW w:w="2698" w:type="dxa"/>
          </w:tcPr>
          <w:p w14:paraId="31C8C0AE" w14:textId="77777777" w:rsidR="00A82B26" w:rsidRPr="008B25B9" w:rsidRDefault="00A82B26" w:rsidP="004153F6">
            <w:pPr>
              <w:keepNext/>
              <w:keepLines/>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proofErr w:type="spellStart"/>
            <w:r w:rsidRPr="008B25B9">
              <w:rPr>
                <w:i/>
                <w:color w:val="000000" w:themeColor="text1"/>
                <w:sz w:val="18"/>
                <w:szCs w:val="18"/>
              </w:rPr>
              <w:t>Spyridium</w:t>
            </w:r>
            <w:proofErr w:type="spellEnd"/>
            <w:r w:rsidRPr="008B25B9">
              <w:rPr>
                <w:i/>
                <w:color w:val="000000" w:themeColor="text1"/>
                <w:sz w:val="18"/>
                <w:szCs w:val="18"/>
              </w:rPr>
              <w:t xml:space="preserve"> </w:t>
            </w:r>
            <w:proofErr w:type="spellStart"/>
            <w:r w:rsidRPr="008B25B9">
              <w:rPr>
                <w:i/>
                <w:color w:val="000000" w:themeColor="text1"/>
                <w:sz w:val="18"/>
                <w:szCs w:val="18"/>
              </w:rPr>
              <w:t>subochreatum</w:t>
            </w:r>
            <w:proofErr w:type="spellEnd"/>
          </w:p>
        </w:tc>
        <w:tc>
          <w:tcPr>
            <w:tcW w:w="1275" w:type="dxa"/>
          </w:tcPr>
          <w:p w14:paraId="31C8C0AF"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B25B9">
              <w:rPr>
                <w:color w:val="000000" w:themeColor="text1"/>
                <w:sz w:val="18"/>
                <w:szCs w:val="18"/>
              </w:rPr>
              <w:t>1.9</w:t>
            </w:r>
          </w:p>
        </w:tc>
      </w:tr>
      <w:tr w:rsidR="00A82B26" w:rsidRPr="008B25B9" w14:paraId="31C8C0B5" w14:textId="77777777" w:rsidTr="00404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B1" w14:textId="77777777" w:rsidR="00A82B26" w:rsidRPr="008B25B9" w:rsidRDefault="00A82B26" w:rsidP="004153F6">
            <w:pPr>
              <w:keepNext/>
              <w:keepLines/>
              <w:spacing w:after="0"/>
              <w:rPr>
                <w:b w:val="0"/>
                <w:i/>
                <w:color w:val="000000" w:themeColor="text1"/>
                <w:sz w:val="18"/>
                <w:szCs w:val="18"/>
              </w:rPr>
            </w:pPr>
            <w:r w:rsidRPr="008B25B9">
              <w:rPr>
                <w:b w:val="0"/>
                <w:i/>
                <w:color w:val="000000" w:themeColor="text1"/>
                <w:sz w:val="18"/>
                <w:szCs w:val="18"/>
              </w:rPr>
              <w:t xml:space="preserve">Hibbertia </w:t>
            </w:r>
            <w:proofErr w:type="spellStart"/>
            <w:r w:rsidRPr="008B25B9">
              <w:rPr>
                <w:b w:val="0"/>
                <w:i/>
                <w:color w:val="000000" w:themeColor="text1"/>
                <w:sz w:val="18"/>
                <w:szCs w:val="18"/>
              </w:rPr>
              <w:t>hypericoides</w:t>
            </w:r>
            <w:proofErr w:type="spellEnd"/>
          </w:p>
        </w:tc>
        <w:tc>
          <w:tcPr>
            <w:tcW w:w="994" w:type="dxa"/>
          </w:tcPr>
          <w:p w14:paraId="31C8C0B2"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B25B9">
              <w:rPr>
                <w:color w:val="000000" w:themeColor="text1"/>
                <w:sz w:val="18"/>
                <w:szCs w:val="18"/>
              </w:rPr>
              <w:t>2.1</w:t>
            </w:r>
          </w:p>
        </w:tc>
        <w:tc>
          <w:tcPr>
            <w:tcW w:w="2698" w:type="dxa"/>
          </w:tcPr>
          <w:p w14:paraId="31C8C0B3" w14:textId="77777777" w:rsidR="00A82B26" w:rsidRPr="008B25B9" w:rsidRDefault="00A82B26" w:rsidP="004153F6">
            <w:pPr>
              <w:keepNext/>
              <w:keepLines/>
              <w:spacing w:after="0"/>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roofErr w:type="spellStart"/>
            <w:r w:rsidRPr="008B25B9">
              <w:rPr>
                <w:i/>
                <w:color w:val="000000" w:themeColor="text1"/>
                <w:sz w:val="18"/>
                <w:szCs w:val="18"/>
              </w:rPr>
              <w:t>Stirlingia</w:t>
            </w:r>
            <w:proofErr w:type="spellEnd"/>
            <w:r w:rsidRPr="008B25B9">
              <w:rPr>
                <w:i/>
                <w:color w:val="000000" w:themeColor="text1"/>
                <w:sz w:val="18"/>
                <w:szCs w:val="18"/>
              </w:rPr>
              <w:t xml:space="preserve"> </w:t>
            </w:r>
            <w:proofErr w:type="spellStart"/>
            <w:r w:rsidRPr="008B25B9">
              <w:rPr>
                <w:i/>
                <w:color w:val="000000" w:themeColor="text1"/>
                <w:sz w:val="18"/>
                <w:szCs w:val="18"/>
              </w:rPr>
              <w:t>latifolia</w:t>
            </w:r>
            <w:proofErr w:type="spellEnd"/>
          </w:p>
        </w:tc>
        <w:tc>
          <w:tcPr>
            <w:tcW w:w="1275" w:type="dxa"/>
          </w:tcPr>
          <w:p w14:paraId="31C8C0B4" w14:textId="77777777" w:rsidR="00A82B26" w:rsidRPr="008B25B9" w:rsidRDefault="00A82B26" w:rsidP="004153F6">
            <w:pPr>
              <w:keepNext/>
              <w:keepLines/>
              <w:spacing w:after="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B25B9">
              <w:rPr>
                <w:color w:val="000000" w:themeColor="text1"/>
                <w:sz w:val="18"/>
                <w:szCs w:val="18"/>
              </w:rPr>
              <w:t>2.6</w:t>
            </w:r>
          </w:p>
        </w:tc>
      </w:tr>
      <w:tr w:rsidR="00A82B26" w:rsidRPr="008B25B9" w14:paraId="31C8C0BA" w14:textId="77777777" w:rsidTr="004047FF">
        <w:trPr>
          <w:jc w:val="center"/>
        </w:trPr>
        <w:tc>
          <w:tcPr>
            <w:cnfStyle w:val="001000000000" w:firstRow="0" w:lastRow="0" w:firstColumn="1" w:lastColumn="0" w:oddVBand="0" w:evenVBand="0" w:oddHBand="0" w:evenHBand="0" w:firstRowFirstColumn="0" w:firstRowLastColumn="0" w:lastRowFirstColumn="0" w:lastRowLastColumn="0"/>
            <w:tcW w:w="2435" w:type="dxa"/>
          </w:tcPr>
          <w:p w14:paraId="31C8C0B6" w14:textId="77777777" w:rsidR="00A82B26" w:rsidRPr="008B25B9" w:rsidRDefault="00A82B26" w:rsidP="004153F6">
            <w:pPr>
              <w:keepNext/>
              <w:keepLines/>
              <w:spacing w:after="0"/>
              <w:rPr>
                <w:b w:val="0"/>
                <w:i/>
                <w:color w:val="000000" w:themeColor="text1"/>
                <w:sz w:val="18"/>
                <w:szCs w:val="18"/>
              </w:rPr>
            </w:pPr>
            <w:proofErr w:type="spellStart"/>
            <w:r w:rsidRPr="008B25B9">
              <w:rPr>
                <w:b w:val="0"/>
                <w:i/>
                <w:color w:val="000000" w:themeColor="text1"/>
                <w:sz w:val="18"/>
                <w:szCs w:val="18"/>
              </w:rPr>
              <w:t>Jacksonia</w:t>
            </w:r>
            <w:proofErr w:type="spellEnd"/>
            <w:r w:rsidRPr="008B25B9">
              <w:rPr>
                <w:b w:val="0"/>
                <w:i/>
                <w:color w:val="000000" w:themeColor="text1"/>
                <w:sz w:val="18"/>
                <w:szCs w:val="18"/>
              </w:rPr>
              <w:t xml:space="preserve"> floribunda</w:t>
            </w:r>
          </w:p>
        </w:tc>
        <w:tc>
          <w:tcPr>
            <w:tcW w:w="994" w:type="dxa"/>
          </w:tcPr>
          <w:p w14:paraId="31C8C0B7"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B25B9">
              <w:rPr>
                <w:color w:val="000000" w:themeColor="text1"/>
                <w:sz w:val="18"/>
                <w:szCs w:val="18"/>
              </w:rPr>
              <w:t>3.1</w:t>
            </w:r>
          </w:p>
        </w:tc>
        <w:tc>
          <w:tcPr>
            <w:tcW w:w="2698" w:type="dxa"/>
          </w:tcPr>
          <w:p w14:paraId="31C8C0B8" w14:textId="77777777" w:rsidR="00A82B26" w:rsidRPr="008B25B9" w:rsidRDefault="00A82B26" w:rsidP="004153F6">
            <w:pPr>
              <w:keepNext/>
              <w:keepLines/>
              <w:spacing w:after="0"/>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sidRPr="008B25B9">
              <w:rPr>
                <w:i/>
                <w:color w:val="000000" w:themeColor="text1"/>
                <w:sz w:val="18"/>
                <w:szCs w:val="18"/>
              </w:rPr>
              <w:t xml:space="preserve">Xanthorrhoea </w:t>
            </w:r>
            <w:proofErr w:type="spellStart"/>
            <w:r w:rsidRPr="008B25B9">
              <w:rPr>
                <w:i/>
                <w:color w:val="000000" w:themeColor="text1"/>
                <w:sz w:val="18"/>
                <w:szCs w:val="18"/>
              </w:rPr>
              <w:t>australis</w:t>
            </w:r>
            <w:proofErr w:type="spellEnd"/>
          </w:p>
        </w:tc>
        <w:tc>
          <w:tcPr>
            <w:tcW w:w="1275" w:type="dxa"/>
          </w:tcPr>
          <w:p w14:paraId="31C8C0B9" w14:textId="77777777" w:rsidR="00A82B26" w:rsidRPr="008B25B9" w:rsidRDefault="00A82B26" w:rsidP="004153F6">
            <w:pPr>
              <w:keepNext/>
              <w:keepLines/>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B25B9">
              <w:rPr>
                <w:color w:val="000000" w:themeColor="text1"/>
                <w:sz w:val="18"/>
                <w:szCs w:val="18"/>
              </w:rPr>
              <w:t>2.4</w:t>
            </w:r>
          </w:p>
        </w:tc>
      </w:tr>
    </w:tbl>
    <w:p w14:paraId="31C8C0BB" w14:textId="77777777" w:rsidR="008B25B9" w:rsidRPr="004840CB" w:rsidRDefault="004047FF" w:rsidP="0000258D">
      <w:pPr>
        <w:keepNext/>
        <w:keepLines/>
        <w:spacing w:after="0"/>
        <w:rPr>
          <w:rFonts w:eastAsia="Times New Roman"/>
          <w:color w:val="31849B"/>
          <w:sz w:val="16"/>
          <w:szCs w:val="16"/>
        </w:rPr>
      </w:pPr>
      <w:r>
        <w:rPr>
          <w:rFonts w:eastAsia="Times New Roman"/>
          <w:color w:val="31849B"/>
          <w:sz w:val="16"/>
          <w:szCs w:val="16"/>
        </w:rPr>
        <w:t xml:space="preserve">                                             </w:t>
      </w:r>
      <w:r w:rsidR="000B3921" w:rsidRPr="004840CB">
        <w:rPr>
          <w:rFonts w:eastAsia="Times New Roman"/>
          <w:color w:val="31849B"/>
          <w:sz w:val="16"/>
          <w:szCs w:val="16"/>
        </w:rPr>
        <w:t>* Christina et al., 2011</w:t>
      </w:r>
    </w:p>
    <w:p w14:paraId="31C8C0BC" w14:textId="77777777" w:rsidR="009C4E88" w:rsidRDefault="00D073D6" w:rsidP="0000258D">
      <w:pPr>
        <w:pStyle w:val="Heading9"/>
      </w:pPr>
      <w:bookmarkStart w:id="109" w:name="_Toc509996509"/>
      <w:r>
        <w:lastRenderedPageBreak/>
        <w:t>Rules to guide GDE identification</w:t>
      </w:r>
      <w:bookmarkEnd w:id="109"/>
    </w:p>
    <w:p w14:paraId="31C8C0BD" w14:textId="77777777" w:rsidR="0000258D" w:rsidRDefault="00BB1DD0" w:rsidP="00CB4519">
      <w:pPr>
        <w:pStyle w:val="Caption"/>
        <w:rPr>
          <w:color w:val="000000" w:themeColor="text1"/>
        </w:rPr>
      </w:pPr>
      <w:bookmarkStart w:id="110" w:name="_Ref507708759"/>
      <w:bookmarkStart w:id="111" w:name="_Toc509991059"/>
      <w:r>
        <w:t>App</w:t>
      </w:r>
      <w:r w:rsidR="00CB4519">
        <w:t xml:space="preserve"> Table </w:t>
      </w:r>
      <w:r w:rsidR="00085933">
        <w:fldChar w:fldCharType="begin"/>
      </w:r>
      <w:r w:rsidR="00085933">
        <w:instrText xml:space="preserve"> SEQ Apx_Table \* ARABIC </w:instrText>
      </w:r>
      <w:r w:rsidR="00085933">
        <w:fldChar w:fldCharType="separate"/>
      </w:r>
      <w:r w:rsidR="00E96B43">
        <w:rPr>
          <w:noProof/>
        </w:rPr>
        <w:t>7</w:t>
      </w:r>
      <w:r w:rsidR="00085933">
        <w:rPr>
          <w:noProof/>
        </w:rPr>
        <w:fldChar w:fldCharType="end"/>
      </w:r>
      <w:bookmarkEnd w:id="110"/>
      <w:r w:rsidR="00CB4519">
        <w:t>.</w:t>
      </w:r>
      <w:r w:rsidR="0000258D" w:rsidRPr="003E1A05">
        <w:rPr>
          <w:color w:val="000000" w:themeColor="text1"/>
        </w:rPr>
        <w:t xml:space="preserve"> Rules to guide the identification of GDEs using remotely sensed or existing data, developed from known studies. These rules were used to develop the GDE Atlas (SKM, 2012; Doody et al.</w:t>
      </w:r>
      <w:r w:rsidR="006628D5">
        <w:rPr>
          <w:color w:val="000000" w:themeColor="text1"/>
        </w:rPr>
        <w:t>,</w:t>
      </w:r>
      <w:r w:rsidR="0000258D" w:rsidRPr="003E1A05">
        <w:rPr>
          <w:color w:val="000000" w:themeColor="text1"/>
        </w:rPr>
        <w:t xml:space="preserve"> 2017) and supplemented for aquifer ecosystems for this </w:t>
      </w:r>
      <w:r w:rsidR="00E04F7D">
        <w:rPr>
          <w:color w:val="000000" w:themeColor="text1"/>
        </w:rPr>
        <w:t>E</w:t>
      </w:r>
      <w:r w:rsidR="0000258D" w:rsidRPr="003E1A05">
        <w:rPr>
          <w:color w:val="000000" w:themeColor="text1"/>
        </w:rPr>
        <w:t xml:space="preserve">xplanatory </w:t>
      </w:r>
      <w:r w:rsidR="00E04F7D">
        <w:rPr>
          <w:color w:val="000000" w:themeColor="text1"/>
        </w:rPr>
        <w:t>N</w:t>
      </w:r>
      <w:r w:rsidR="0000258D" w:rsidRPr="003E1A05">
        <w:rPr>
          <w:color w:val="000000" w:themeColor="text1"/>
        </w:rPr>
        <w:t>ote</w:t>
      </w:r>
      <w:r w:rsidR="006628D5">
        <w:rPr>
          <w:color w:val="000000" w:themeColor="text1"/>
        </w:rPr>
        <w:t>. Rules are cross</w:t>
      </w:r>
      <w:r w:rsidR="00E04F7D">
        <w:rPr>
          <w:color w:val="000000" w:themeColor="text1"/>
        </w:rPr>
        <w:t>-</w:t>
      </w:r>
      <w:r w:rsidR="006628D5">
        <w:rPr>
          <w:color w:val="000000" w:themeColor="text1"/>
        </w:rPr>
        <w:t xml:space="preserve">referenced with questions posed by </w:t>
      </w:r>
      <w:proofErr w:type="spellStart"/>
      <w:r w:rsidR="006628D5">
        <w:rPr>
          <w:color w:val="000000" w:themeColor="text1"/>
        </w:rPr>
        <w:t>Eamus</w:t>
      </w:r>
      <w:proofErr w:type="spellEnd"/>
      <w:r w:rsidR="006628D5">
        <w:rPr>
          <w:color w:val="000000" w:themeColor="text1"/>
        </w:rPr>
        <w:t xml:space="preserve"> et al. </w:t>
      </w:r>
      <w:r w:rsidR="00E04F7D">
        <w:rPr>
          <w:color w:val="000000" w:themeColor="text1"/>
        </w:rPr>
        <w:t>(</w:t>
      </w:r>
      <w:r w:rsidR="006628D5">
        <w:rPr>
          <w:color w:val="000000" w:themeColor="text1"/>
        </w:rPr>
        <w:t>2006</w:t>
      </w:r>
      <w:r w:rsidR="00E04F7D">
        <w:rPr>
          <w:color w:val="000000" w:themeColor="text1"/>
        </w:rPr>
        <w:t>)</w:t>
      </w:r>
      <w:r w:rsidR="006628D5">
        <w:rPr>
          <w:color w:val="000000" w:themeColor="text1"/>
        </w:rPr>
        <w:t xml:space="preserve"> in </w:t>
      </w:r>
      <w:r w:rsidR="006628D5">
        <w:rPr>
          <w:color w:val="000000" w:themeColor="text1"/>
        </w:rPr>
        <w:fldChar w:fldCharType="begin"/>
      </w:r>
      <w:r w:rsidR="006628D5">
        <w:rPr>
          <w:color w:val="000000" w:themeColor="text1"/>
        </w:rPr>
        <w:instrText xml:space="preserve"> REF _Ref508891894 \h </w:instrText>
      </w:r>
      <w:r w:rsidR="006628D5">
        <w:rPr>
          <w:color w:val="000000" w:themeColor="text1"/>
        </w:rPr>
      </w:r>
      <w:r w:rsidR="006628D5">
        <w:rPr>
          <w:color w:val="000000" w:themeColor="text1"/>
        </w:rPr>
        <w:fldChar w:fldCharType="separate"/>
      </w:r>
      <w:r w:rsidR="00E96B43">
        <w:t xml:space="preserve">Table </w:t>
      </w:r>
      <w:r w:rsidR="00E96B43">
        <w:rPr>
          <w:noProof/>
        </w:rPr>
        <w:t>1</w:t>
      </w:r>
      <w:bookmarkEnd w:id="111"/>
      <w:r w:rsidR="006628D5">
        <w:rPr>
          <w:color w:val="000000" w:themeColor="text1"/>
        </w:rPr>
        <w:fldChar w:fldCharType="end"/>
      </w:r>
    </w:p>
    <w:tbl>
      <w:tblPr>
        <w:tblStyle w:val="TableCSIRO"/>
        <w:tblW w:w="0" w:type="auto"/>
        <w:jc w:val="center"/>
        <w:tblInd w:w="0" w:type="dxa"/>
        <w:tblLook w:val="04A0" w:firstRow="1" w:lastRow="0" w:firstColumn="1" w:lastColumn="0" w:noHBand="0" w:noVBand="1"/>
      </w:tblPr>
      <w:tblGrid>
        <w:gridCol w:w="2038"/>
        <w:gridCol w:w="3969"/>
        <w:gridCol w:w="3518"/>
      </w:tblGrid>
      <w:tr w:rsidR="006628D5" w:rsidRPr="006628D5" w14:paraId="31C8C0C1" w14:textId="77777777" w:rsidTr="007F011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BE" w14:textId="77777777" w:rsidR="006628D5" w:rsidRPr="006628D5" w:rsidRDefault="006628D5" w:rsidP="006628D5">
            <w:pPr>
              <w:spacing w:after="0"/>
              <w:jc w:val="center"/>
              <w:rPr>
                <w:rFonts w:asciiTheme="minorHAnsi" w:hAnsiTheme="minorHAnsi"/>
                <w:color w:val="FFFFFF" w:themeColor="background1"/>
                <w:sz w:val="18"/>
                <w:szCs w:val="18"/>
              </w:rPr>
            </w:pPr>
            <w:r w:rsidRPr="006628D5">
              <w:rPr>
                <w:rFonts w:asciiTheme="minorHAnsi" w:hAnsiTheme="minorHAnsi"/>
                <w:color w:val="FFFFFF" w:themeColor="background1"/>
                <w:sz w:val="18"/>
                <w:szCs w:val="18"/>
              </w:rPr>
              <w:t>Cross reference with Table 1.</w:t>
            </w:r>
          </w:p>
        </w:tc>
        <w:tc>
          <w:tcPr>
            <w:tcW w:w="3969" w:type="dxa"/>
          </w:tcPr>
          <w:p w14:paraId="31C8C0BF" w14:textId="77777777" w:rsidR="006628D5" w:rsidRPr="006628D5" w:rsidRDefault="006628D5" w:rsidP="007B0DF1">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628D5">
              <w:rPr>
                <w:rFonts w:asciiTheme="minorHAnsi" w:hAnsiTheme="minorHAnsi"/>
                <w:color w:val="FFFFFF" w:themeColor="background1"/>
                <w:sz w:val="18"/>
                <w:szCs w:val="18"/>
              </w:rPr>
              <w:t>Rules of GDE potential</w:t>
            </w:r>
          </w:p>
        </w:tc>
        <w:tc>
          <w:tcPr>
            <w:tcW w:w="3518" w:type="dxa"/>
          </w:tcPr>
          <w:p w14:paraId="31C8C0C0" w14:textId="77777777" w:rsidR="006628D5" w:rsidRPr="006628D5" w:rsidRDefault="006628D5" w:rsidP="007B0DF1">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6628D5">
              <w:rPr>
                <w:rFonts w:asciiTheme="minorHAnsi" w:hAnsiTheme="minorHAnsi"/>
                <w:color w:val="FFFFFF" w:themeColor="background1"/>
                <w:sz w:val="18"/>
                <w:szCs w:val="18"/>
              </w:rPr>
              <w:t>Potential datasets required</w:t>
            </w:r>
          </w:p>
        </w:tc>
      </w:tr>
      <w:tr w:rsidR="006628D5" w:rsidRPr="0000258D" w14:paraId="31C8C0C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C2" w14:textId="77777777" w:rsidR="006628D5" w:rsidRPr="0000258D" w:rsidRDefault="006628D5" w:rsidP="007B0DF1">
            <w:pPr>
              <w:spacing w:after="0"/>
              <w:jc w:val="center"/>
              <w:rPr>
                <w:rFonts w:asciiTheme="minorHAnsi" w:hAnsiTheme="minorHAnsi"/>
                <w:sz w:val="18"/>
                <w:szCs w:val="18"/>
              </w:rPr>
            </w:pPr>
          </w:p>
        </w:tc>
        <w:tc>
          <w:tcPr>
            <w:tcW w:w="3969" w:type="dxa"/>
          </w:tcPr>
          <w:p w14:paraId="31C8C0C3" w14:textId="77777777" w:rsidR="006628D5" w:rsidRPr="0000258D" w:rsidRDefault="006628D5" w:rsidP="007B0D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0258D">
              <w:rPr>
                <w:rFonts w:asciiTheme="minorHAnsi" w:hAnsiTheme="minorHAnsi"/>
                <w:sz w:val="18"/>
                <w:szCs w:val="18"/>
              </w:rPr>
              <w:t>SUBSURFACE GDEs</w:t>
            </w:r>
          </w:p>
        </w:tc>
        <w:tc>
          <w:tcPr>
            <w:tcW w:w="3518" w:type="dxa"/>
          </w:tcPr>
          <w:p w14:paraId="31C8C0C4" w14:textId="77777777" w:rsidR="006628D5" w:rsidRPr="0000258D" w:rsidRDefault="006628D5" w:rsidP="007B0D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r>
      <w:tr w:rsidR="006628D5" w:rsidRPr="002C2D1C" w14:paraId="31C8C0C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C6"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0C7"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Vegetation in landscapes with shallow </w:t>
            </w:r>
            <w:proofErr w:type="spellStart"/>
            <w:r w:rsidRPr="00165C46">
              <w:rPr>
                <w:rFonts w:asciiTheme="minorHAnsi" w:hAnsiTheme="minorHAnsi"/>
                <w:sz w:val="18"/>
                <w:szCs w:val="18"/>
              </w:rPr>
              <w:t>watertable</w:t>
            </w:r>
            <w:proofErr w:type="spellEnd"/>
            <w:r w:rsidRPr="00165C46">
              <w:rPr>
                <w:rFonts w:asciiTheme="minorHAnsi" w:hAnsiTheme="minorHAnsi"/>
                <w:sz w:val="18"/>
                <w:szCs w:val="18"/>
              </w:rPr>
              <w:t xml:space="preserve"> (&lt;5 m or 10 m) will use </w:t>
            </w:r>
            <w:r>
              <w:rPr>
                <w:rFonts w:asciiTheme="minorHAnsi" w:hAnsiTheme="minorHAnsi"/>
                <w:sz w:val="18"/>
                <w:szCs w:val="18"/>
              </w:rPr>
              <w:t>groundwater when required</w:t>
            </w:r>
            <w:r w:rsidRPr="00165C46">
              <w:rPr>
                <w:rFonts w:asciiTheme="minorHAnsi" w:hAnsiTheme="minorHAnsi"/>
                <w:sz w:val="18"/>
                <w:szCs w:val="18"/>
              </w:rPr>
              <w:t xml:space="preserve"> </w:t>
            </w:r>
          </w:p>
        </w:tc>
        <w:tc>
          <w:tcPr>
            <w:tcW w:w="3518" w:type="dxa"/>
          </w:tcPr>
          <w:p w14:paraId="31C8C0C8" w14:textId="77777777" w:rsidR="006628D5" w:rsidRPr="002C2D1C"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2C2D1C">
              <w:rPr>
                <w:rFonts w:asciiTheme="minorHAnsi" w:hAnsiTheme="minorHAnsi"/>
                <w:sz w:val="18"/>
                <w:szCs w:val="18"/>
              </w:rPr>
              <w:t>Watertable</w:t>
            </w:r>
            <w:proofErr w:type="spellEnd"/>
            <w:r w:rsidRPr="002C2D1C">
              <w:rPr>
                <w:rFonts w:asciiTheme="minorHAnsi" w:hAnsiTheme="minorHAnsi"/>
                <w:sz w:val="18"/>
                <w:szCs w:val="18"/>
              </w:rPr>
              <w:t xml:space="preserve"> depth; vegetation type; vegetation map</w:t>
            </w:r>
          </w:p>
        </w:tc>
      </w:tr>
      <w:tr w:rsidR="006628D5" w:rsidRPr="002C2D1C" w14:paraId="31C8C0C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CA"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0C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Specific vegetation types have been shown to use groundwater and can be used to indicate where groundwater use may be occurring</w:t>
            </w:r>
          </w:p>
        </w:tc>
        <w:tc>
          <w:tcPr>
            <w:tcW w:w="3518" w:type="dxa"/>
          </w:tcPr>
          <w:p w14:paraId="31C8C0CC"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Vegetation type; vegetation known to access groundwater; vegetation map</w:t>
            </w:r>
          </w:p>
        </w:tc>
      </w:tr>
      <w:tr w:rsidR="006628D5" w:rsidRPr="002C2D1C" w14:paraId="31C8C0D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CE"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7, 8</w:t>
            </w:r>
          </w:p>
        </w:tc>
        <w:tc>
          <w:tcPr>
            <w:tcW w:w="3969" w:type="dxa"/>
          </w:tcPr>
          <w:p w14:paraId="31C8C0CF"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Vegetation that is using groundwater can be identified by water use and growth patterns during summer months and has a higher annual evapotranspiration (ET)</w:t>
            </w:r>
            <w:r>
              <w:rPr>
                <w:rFonts w:asciiTheme="minorHAnsi" w:hAnsiTheme="minorHAnsi"/>
                <w:sz w:val="18"/>
                <w:szCs w:val="18"/>
              </w:rPr>
              <w:t xml:space="preserve"> than rainfall</w:t>
            </w:r>
            <w:r w:rsidRPr="00165C46">
              <w:rPr>
                <w:rFonts w:asciiTheme="minorHAnsi" w:hAnsiTheme="minorHAnsi"/>
                <w:sz w:val="18"/>
                <w:szCs w:val="18"/>
              </w:rPr>
              <w:t xml:space="preserve"> </w:t>
            </w:r>
          </w:p>
        </w:tc>
        <w:tc>
          <w:tcPr>
            <w:tcW w:w="3518" w:type="dxa"/>
          </w:tcPr>
          <w:p w14:paraId="31C8C0D0" w14:textId="77777777" w:rsidR="006628D5" w:rsidRPr="002C2D1C"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 xml:space="preserve">Leaf area index; </w:t>
            </w:r>
            <w:proofErr w:type="spellStart"/>
            <w:r w:rsidRPr="002C2D1C">
              <w:rPr>
                <w:rFonts w:asciiTheme="minorHAnsi" w:hAnsiTheme="minorHAnsi"/>
                <w:sz w:val="18"/>
                <w:szCs w:val="18"/>
              </w:rPr>
              <w:t>sapflow</w:t>
            </w:r>
            <w:proofErr w:type="spellEnd"/>
            <w:r w:rsidRPr="002C2D1C">
              <w:rPr>
                <w:rFonts w:asciiTheme="minorHAnsi" w:hAnsiTheme="minorHAnsi"/>
                <w:sz w:val="18"/>
                <w:szCs w:val="18"/>
              </w:rPr>
              <w:t>; MODIS evapotranspiration; vegetation map</w:t>
            </w:r>
          </w:p>
        </w:tc>
      </w:tr>
      <w:tr w:rsidR="006628D5" w:rsidRPr="002C2D1C" w14:paraId="31C8C0D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D2"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6</w:t>
            </w:r>
          </w:p>
        </w:tc>
        <w:tc>
          <w:tcPr>
            <w:tcW w:w="3969" w:type="dxa"/>
          </w:tcPr>
          <w:p w14:paraId="31C8C0D3"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Vegetation communities that exist adjacent to persistent water bodies are lik</w:t>
            </w:r>
            <w:r>
              <w:rPr>
                <w:rFonts w:asciiTheme="minorHAnsi" w:hAnsiTheme="minorHAnsi"/>
                <w:sz w:val="18"/>
                <w:szCs w:val="18"/>
              </w:rPr>
              <w:t>ely to be accessing groundwater</w:t>
            </w:r>
            <w:r w:rsidRPr="00165C46">
              <w:rPr>
                <w:rFonts w:asciiTheme="minorHAnsi" w:hAnsiTheme="minorHAnsi"/>
                <w:sz w:val="18"/>
                <w:szCs w:val="18"/>
              </w:rPr>
              <w:t xml:space="preserve"> </w:t>
            </w:r>
          </w:p>
        </w:tc>
        <w:tc>
          <w:tcPr>
            <w:tcW w:w="3518" w:type="dxa"/>
          </w:tcPr>
          <w:p w14:paraId="31C8C0D4"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Wetland/river map; vegetation type; water persistence map; vegetation map</w:t>
            </w:r>
          </w:p>
        </w:tc>
      </w:tr>
      <w:tr w:rsidR="006628D5" w:rsidRPr="002C2D1C" w14:paraId="31C8C0D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D6"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5, 6, 9</w:t>
            </w:r>
          </w:p>
        </w:tc>
        <w:tc>
          <w:tcPr>
            <w:tcW w:w="3969" w:type="dxa"/>
          </w:tcPr>
          <w:p w14:paraId="31C8C0D7"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Native vegetation surrounding a known spring location or a known GDE is more likely to be </w:t>
            </w:r>
            <w:r>
              <w:rPr>
                <w:rFonts w:asciiTheme="minorHAnsi" w:hAnsiTheme="minorHAnsi"/>
                <w:sz w:val="18"/>
                <w:szCs w:val="18"/>
              </w:rPr>
              <w:t>a GDE</w:t>
            </w:r>
          </w:p>
        </w:tc>
        <w:tc>
          <w:tcPr>
            <w:tcW w:w="3518" w:type="dxa"/>
          </w:tcPr>
          <w:p w14:paraId="31C8C0D8" w14:textId="77777777" w:rsidR="006628D5" w:rsidRPr="002C2D1C"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Spring/wetland map; vegetation map</w:t>
            </w:r>
          </w:p>
        </w:tc>
      </w:tr>
      <w:tr w:rsidR="006628D5" w:rsidRPr="002C2D1C" w14:paraId="31C8C0D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DA"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0D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Vegetation growing in soil that has a low water storage capacity and soil depth is more like</w:t>
            </w:r>
            <w:r>
              <w:rPr>
                <w:rFonts w:asciiTheme="minorHAnsi" w:hAnsiTheme="minorHAnsi"/>
                <w:sz w:val="18"/>
                <w:szCs w:val="18"/>
              </w:rPr>
              <w:t>ly to be accessing groundwater</w:t>
            </w:r>
          </w:p>
        </w:tc>
        <w:tc>
          <w:tcPr>
            <w:tcW w:w="3518" w:type="dxa"/>
          </w:tcPr>
          <w:p w14:paraId="31C8C0DC" w14:textId="77777777" w:rsidR="006628D5" w:rsidRPr="002C2D1C" w:rsidRDefault="006628D5" w:rsidP="00797194">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Vegetation map; vegetation type; soil type map; soil water</w:t>
            </w:r>
            <w:r w:rsidR="00797194">
              <w:rPr>
                <w:rFonts w:asciiTheme="minorHAnsi" w:hAnsiTheme="minorHAnsi"/>
                <w:sz w:val="18"/>
                <w:szCs w:val="18"/>
              </w:rPr>
              <w:t>-</w:t>
            </w:r>
            <w:r w:rsidRPr="002C2D1C">
              <w:rPr>
                <w:rFonts w:asciiTheme="minorHAnsi" w:hAnsiTheme="minorHAnsi"/>
                <w:sz w:val="18"/>
                <w:szCs w:val="18"/>
              </w:rPr>
              <w:t>holding capacity; depth to groundwater</w:t>
            </w:r>
          </w:p>
        </w:tc>
      </w:tr>
      <w:tr w:rsidR="006628D5" w:rsidRPr="002C2D1C" w14:paraId="31C8C0E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DE"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0DF"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Vegetation growing in areas where cracking soil plains exist is more likely to rely on trapped surface water or water stored in the uns</w:t>
            </w:r>
            <w:r>
              <w:rPr>
                <w:rFonts w:asciiTheme="minorHAnsi" w:hAnsiTheme="minorHAnsi"/>
                <w:sz w:val="18"/>
                <w:szCs w:val="18"/>
              </w:rPr>
              <w:t>aturated zone than groundwater</w:t>
            </w:r>
          </w:p>
        </w:tc>
        <w:tc>
          <w:tcPr>
            <w:tcW w:w="3518" w:type="dxa"/>
          </w:tcPr>
          <w:p w14:paraId="31C8C0E0" w14:textId="77777777" w:rsidR="006628D5" w:rsidRPr="002C2D1C"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Soil mapping; vegetation type; vegetation map</w:t>
            </w:r>
          </w:p>
        </w:tc>
      </w:tr>
      <w:tr w:rsidR="006628D5" w:rsidRPr="002C2D1C" w14:paraId="31C8C0E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E2"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4, 5, 6, 9</w:t>
            </w:r>
          </w:p>
        </w:tc>
        <w:tc>
          <w:tcPr>
            <w:tcW w:w="3969" w:type="dxa"/>
          </w:tcPr>
          <w:p w14:paraId="31C8C0E3"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Vegetation surrounding GDEs identified in previous studies are likely to be using groundwater except where the water feature is located on coastal floodplains where Holocene marine muds are present, or on cracking clay soil plains</w:t>
            </w:r>
          </w:p>
        </w:tc>
        <w:tc>
          <w:tcPr>
            <w:tcW w:w="3518" w:type="dxa"/>
          </w:tcPr>
          <w:p w14:paraId="31C8C0E4"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Known GDE location/map (GDE Atlas); soil type map; floodplain/inundation map</w:t>
            </w:r>
          </w:p>
        </w:tc>
      </w:tr>
      <w:tr w:rsidR="006628D5" w:rsidRPr="002C2D1C" w14:paraId="31C8C0E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E6"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0E7"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Certain landscapes or topography are more indicative of shallow groundwater, and are therefore more likely to support GDEs (</w:t>
            </w:r>
            <w:r>
              <w:rPr>
                <w:rFonts w:asciiTheme="minorHAnsi" w:hAnsiTheme="minorHAnsi"/>
                <w:sz w:val="18"/>
                <w:szCs w:val="18"/>
              </w:rPr>
              <w:t>o</w:t>
            </w:r>
            <w:r w:rsidRPr="00165C46">
              <w:rPr>
                <w:rFonts w:asciiTheme="minorHAnsi" w:hAnsiTheme="minorHAnsi"/>
                <w:sz w:val="18"/>
                <w:szCs w:val="18"/>
              </w:rPr>
              <w:t xml:space="preserve">nly applied when an existing depth to </w:t>
            </w:r>
            <w:proofErr w:type="spellStart"/>
            <w:r w:rsidRPr="00165C46">
              <w:rPr>
                <w:rFonts w:asciiTheme="minorHAnsi" w:hAnsiTheme="minorHAnsi"/>
                <w:sz w:val="18"/>
                <w:szCs w:val="18"/>
              </w:rPr>
              <w:t>watertable</w:t>
            </w:r>
            <w:proofErr w:type="spellEnd"/>
            <w:r w:rsidRPr="00165C46">
              <w:rPr>
                <w:rFonts w:asciiTheme="minorHAnsi" w:hAnsiTheme="minorHAnsi"/>
                <w:sz w:val="18"/>
                <w:szCs w:val="18"/>
              </w:rPr>
              <w:t xml:space="preserve"> mapp</w:t>
            </w:r>
            <w:r>
              <w:rPr>
                <w:rFonts w:asciiTheme="minorHAnsi" w:hAnsiTheme="minorHAnsi"/>
                <w:sz w:val="18"/>
                <w:szCs w:val="18"/>
              </w:rPr>
              <w:t>ing is not available)</w:t>
            </w:r>
          </w:p>
        </w:tc>
        <w:tc>
          <w:tcPr>
            <w:tcW w:w="3518" w:type="dxa"/>
          </w:tcPr>
          <w:p w14:paraId="31C8C0E8" w14:textId="77777777" w:rsidR="006628D5" w:rsidRPr="002C2D1C"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DEM; landscape type mapping; vegetation map; vegetation type</w:t>
            </w:r>
          </w:p>
        </w:tc>
      </w:tr>
      <w:tr w:rsidR="006628D5" w:rsidRPr="002C2D1C" w14:paraId="31C8C0E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EA"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8</w:t>
            </w:r>
          </w:p>
        </w:tc>
        <w:tc>
          <w:tcPr>
            <w:tcW w:w="3969" w:type="dxa"/>
          </w:tcPr>
          <w:p w14:paraId="31C8C0E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Constant vegetation activity throughout the year indicates utilisation of a water source other than </w:t>
            </w:r>
            <w:r>
              <w:rPr>
                <w:rFonts w:asciiTheme="minorHAnsi" w:hAnsiTheme="minorHAnsi"/>
                <w:sz w:val="18"/>
                <w:szCs w:val="18"/>
              </w:rPr>
              <w:t>rainfall (possibly groundwater)</w:t>
            </w:r>
          </w:p>
        </w:tc>
        <w:tc>
          <w:tcPr>
            <w:tcW w:w="3518" w:type="dxa"/>
          </w:tcPr>
          <w:p w14:paraId="31C8C0EC"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Remote sensing green</w:t>
            </w:r>
            <w:r>
              <w:rPr>
                <w:rFonts w:asciiTheme="minorHAnsi" w:hAnsiTheme="minorHAnsi"/>
                <w:sz w:val="18"/>
                <w:szCs w:val="18"/>
              </w:rPr>
              <w:t>n</w:t>
            </w:r>
            <w:r w:rsidRPr="002C2D1C">
              <w:rPr>
                <w:rFonts w:asciiTheme="minorHAnsi" w:hAnsiTheme="minorHAnsi"/>
                <w:sz w:val="18"/>
                <w:szCs w:val="18"/>
              </w:rPr>
              <w:t>ess/wetness, PAR</w:t>
            </w:r>
          </w:p>
        </w:tc>
      </w:tr>
      <w:tr w:rsidR="006628D5" w:rsidRPr="002C2D1C" w14:paraId="31C8C0F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EE" w14:textId="77777777" w:rsidR="006628D5" w:rsidRPr="00165C46" w:rsidRDefault="006628D5" w:rsidP="007B0DF1">
            <w:pPr>
              <w:spacing w:after="0"/>
              <w:rPr>
                <w:rFonts w:asciiTheme="minorHAnsi" w:hAnsiTheme="minorHAnsi"/>
                <w:sz w:val="18"/>
                <w:szCs w:val="18"/>
              </w:rPr>
            </w:pPr>
          </w:p>
        </w:tc>
        <w:tc>
          <w:tcPr>
            <w:tcW w:w="3969" w:type="dxa"/>
          </w:tcPr>
          <w:p w14:paraId="31C8C0EF" w14:textId="77777777" w:rsidR="006628D5" w:rsidRPr="00165C46" w:rsidRDefault="006628D5" w:rsidP="007B0DF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Groundwater discharge rel</w:t>
            </w:r>
            <w:r>
              <w:rPr>
                <w:rFonts w:asciiTheme="minorHAnsi" w:hAnsiTheme="minorHAnsi"/>
                <w:sz w:val="18"/>
                <w:szCs w:val="18"/>
              </w:rPr>
              <w:t>ated to the presence of faults</w:t>
            </w:r>
          </w:p>
        </w:tc>
        <w:tc>
          <w:tcPr>
            <w:tcW w:w="3518" w:type="dxa"/>
          </w:tcPr>
          <w:p w14:paraId="31C8C0F0" w14:textId="77777777" w:rsidR="006628D5" w:rsidRPr="002C2D1C" w:rsidRDefault="006628D5" w:rsidP="007B0DF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Geologic mapping; groundwater depth</w:t>
            </w:r>
          </w:p>
        </w:tc>
      </w:tr>
      <w:tr w:rsidR="006628D5" w:rsidRPr="002C2D1C" w14:paraId="31C8C0F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F2"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0F3"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High probability IDEs (8-10) are potential G</w:t>
            </w:r>
            <w:r>
              <w:rPr>
                <w:rFonts w:asciiTheme="minorHAnsi" w:hAnsiTheme="minorHAnsi"/>
                <w:sz w:val="18"/>
                <w:szCs w:val="18"/>
              </w:rPr>
              <w:t xml:space="preserve">DEs; IDE </w:t>
            </w:r>
            <w:r>
              <w:rPr>
                <w:sz w:val="18"/>
                <w:szCs w:val="18"/>
              </w:rPr>
              <w:t>≤</w:t>
            </w:r>
            <w:r>
              <w:rPr>
                <w:rFonts w:asciiTheme="minorHAnsi" w:hAnsiTheme="minorHAnsi"/>
                <w:sz w:val="18"/>
                <w:szCs w:val="18"/>
              </w:rPr>
              <w:t xml:space="preserve"> 5 not GDEs; </w:t>
            </w:r>
            <w:r>
              <w:rPr>
                <w:sz w:val="18"/>
                <w:szCs w:val="18"/>
              </w:rPr>
              <w:t>≥</w:t>
            </w:r>
            <w:r>
              <w:rPr>
                <w:rFonts w:asciiTheme="minorHAnsi" w:hAnsiTheme="minorHAnsi"/>
                <w:sz w:val="18"/>
                <w:szCs w:val="18"/>
              </w:rPr>
              <w:t xml:space="preserve"> 5 around wetland are potential GDEs</w:t>
            </w:r>
          </w:p>
        </w:tc>
        <w:tc>
          <w:tcPr>
            <w:tcW w:w="3518" w:type="dxa"/>
          </w:tcPr>
          <w:p w14:paraId="31C8C0F4"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IDE map (GDE Atlas); vegetation type; vegetation map</w:t>
            </w:r>
          </w:p>
        </w:tc>
      </w:tr>
      <w:tr w:rsidR="006628D5" w:rsidRPr="002C2D1C" w14:paraId="31C8C0F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F6"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0F7"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Vegetation occurring in estuaries and in coastal floodplains at less than 5m elevation, or on cracking clay</w:t>
            </w:r>
            <w:r>
              <w:rPr>
                <w:rFonts w:asciiTheme="minorHAnsi" w:hAnsiTheme="minorHAnsi"/>
                <w:sz w:val="18"/>
                <w:szCs w:val="18"/>
              </w:rPr>
              <w:t xml:space="preserve"> soils, is unlikely to be a GDE</w:t>
            </w:r>
          </w:p>
        </w:tc>
        <w:tc>
          <w:tcPr>
            <w:tcW w:w="3518" w:type="dxa"/>
          </w:tcPr>
          <w:p w14:paraId="31C8C0F8" w14:textId="77777777" w:rsidR="006628D5" w:rsidRPr="002C2D1C"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DEM; vegetation type; vegetation map; floodplain/inundation map</w:t>
            </w:r>
          </w:p>
        </w:tc>
      </w:tr>
      <w:tr w:rsidR="006628D5" w:rsidRPr="002C2D1C" w14:paraId="31C8C0F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FA" w14:textId="77777777" w:rsidR="006628D5" w:rsidRDefault="006628D5" w:rsidP="007B0DF1">
            <w:pPr>
              <w:autoSpaceDE w:val="0"/>
              <w:autoSpaceDN w:val="0"/>
              <w:adjustRightInd w:val="0"/>
              <w:spacing w:after="0"/>
              <w:rPr>
                <w:rFonts w:asciiTheme="minorHAnsi" w:hAnsiTheme="minorHAnsi"/>
                <w:sz w:val="18"/>
                <w:szCs w:val="18"/>
              </w:rPr>
            </w:pPr>
          </w:p>
        </w:tc>
        <w:tc>
          <w:tcPr>
            <w:tcW w:w="3969" w:type="dxa"/>
          </w:tcPr>
          <w:p w14:paraId="31C8C0FB" w14:textId="77777777" w:rsidR="006628D5" w:rsidRPr="007A7715"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sz w:val="18"/>
                <w:szCs w:val="18"/>
              </w:rPr>
              <w:t>Alluvial aquifers that are connected to rivers &gt; Strahler Order 4 are likely to have stygofauna if water quality is good</w:t>
            </w:r>
          </w:p>
        </w:tc>
        <w:tc>
          <w:tcPr>
            <w:tcW w:w="3518" w:type="dxa"/>
          </w:tcPr>
          <w:p w14:paraId="31C8C0FC"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Strahler Stream Order layer; geological mapping</w:t>
            </w:r>
          </w:p>
        </w:tc>
      </w:tr>
      <w:tr w:rsidR="006628D5" w:rsidRPr="002C2D1C" w14:paraId="31C8C10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0FE" w14:textId="77777777" w:rsidR="006628D5" w:rsidRDefault="006628D5" w:rsidP="007B0DF1">
            <w:pPr>
              <w:autoSpaceDE w:val="0"/>
              <w:autoSpaceDN w:val="0"/>
              <w:adjustRightInd w:val="0"/>
              <w:spacing w:after="0"/>
              <w:rPr>
                <w:rFonts w:asciiTheme="minorHAnsi" w:hAnsiTheme="minorHAnsi"/>
                <w:sz w:val="18"/>
                <w:szCs w:val="18"/>
              </w:rPr>
            </w:pPr>
          </w:p>
        </w:tc>
        <w:tc>
          <w:tcPr>
            <w:tcW w:w="3969" w:type="dxa"/>
          </w:tcPr>
          <w:p w14:paraId="31C8C0FF" w14:textId="77777777" w:rsidR="006628D5"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sz w:val="18"/>
                <w:szCs w:val="18"/>
              </w:rPr>
              <w:t xml:space="preserve">Karstic or limestone aquifers are likely to have stygofauna if water quality is sufficient, as are alluvial aquifers downstream </w:t>
            </w:r>
          </w:p>
        </w:tc>
        <w:tc>
          <w:tcPr>
            <w:tcW w:w="3518" w:type="dxa"/>
          </w:tcPr>
          <w:p w14:paraId="31C8C100" w14:textId="77777777" w:rsidR="006628D5"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Geological mapping, hydrogeology data</w:t>
            </w:r>
          </w:p>
        </w:tc>
      </w:tr>
      <w:tr w:rsidR="006628D5" w:rsidRPr="002C2D1C" w14:paraId="31C8C10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02" w14:textId="77777777" w:rsidR="006628D5" w:rsidRDefault="006628D5" w:rsidP="007B0DF1">
            <w:pPr>
              <w:autoSpaceDE w:val="0"/>
              <w:autoSpaceDN w:val="0"/>
              <w:adjustRightInd w:val="0"/>
              <w:spacing w:after="0"/>
              <w:rPr>
                <w:rFonts w:asciiTheme="minorHAnsi" w:hAnsiTheme="minorHAnsi"/>
                <w:sz w:val="18"/>
                <w:szCs w:val="18"/>
              </w:rPr>
            </w:pPr>
          </w:p>
        </w:tc>
        <w:tc>
          <w:tcPr>
            <w:tcW w:w="3969" w:type="dxa"/>
          </w:tcPr>
          <w:p w14:paraId="31C8C103" w14:textId="77777777" w:rsidR="006628D5"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sz w:val="18"/>
                <w:szCs w:val="18"/>
              </w:rPr>
              <w:t xml:space="preserve">Alluvial aquifers are likely to have high stygofauna diversity close to recharge areas, if water quality is good, where </w:t>
            </w:r>
            <w:proofErr w:type="spellStart"/>
            <w:r w:rsidR="00AB6B3E">
              <w:rPr>
                <w:rFonts w:asciiTheme="minorHAnsi" w:hAnsiTheme="minorHAnsi"/>
                <w:sz w:val="18"/>
                <w:szCs w:val="18"/>
              </w:rPr>
              <w:t>watertable</w:t>
            </w:r>
            <w:proofErr w:type="spellEnd"/>
            <w:r>
              <w:rPr>
                <w:rFonts w:asciiTheme="minorHAnsi" w:hAnsiTheme="minorHAnsi"/>
                <w:sz w:val="18"/>
                <w:szCs w:val="18"/>
              </w:rPr>
              <w:t xml:space="preserve"> is &lt; 10 m, and beneath </w:t>
            </w:r>
            <w:proofErr w:type="spellStart"/>
            <w:r>
              <w:rPr>
                <w:rFonts w:asciiTheme="minorHAnsi" w:hAnsiTheme="minorHAnsi"/>
                <w:sz w:val="18"/>
                <w:szCs w:val="18"/>
              </w:rPr>
              <w:t>phreatophytic</w:t>
            </w:r>
            <w:proofErr w:type="spellEnd"/>
            <w:r>
              <w:rPr>
                <w:rFonts w:asciiTheme="minorHAnsi" w:hAnsiTheme="minorHAnsi"/>
                <w:sz w:val="18"/>
                <w:szCs w:val="18"/>
              </w:rPr>
              <w:t xml:space="preserve"> vegetation</w:t>
            </w:r>
          </w:p>
        </w:tc>
        <w:tc>
          <w:tcPr>
            <w:tcW w:w="3518" w:type="dxa"/>
          </w:tcPr>
          <w:p w14:paraId="31C8C104" w14:textId="77777777" w:rsidR="006628D5"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Vegetation mapping, groundwater level data, </w:t>
            </w:r>
          </w:p>
        </w:tc>
      </w:tr>
      <w:tr w:rsidR="006628D5" w:rsidRPr="002C2D1C" w14:paraId="31C8C10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06" w14:textId="77777777" w:rsidR="006628D5" w:rsidRDefault="006628D5" w:rsidP="007B0DF1">
            <w:pPr>
              <w:autoSpaceDE w:val="0"/>
              <w:autoSpaceDN w:val="0"/>
              <w:adjustRightInd w:val="0"/>
              <w:spacing w:after="0"/>
              <w:rPr>
                <w:rFonts w:asciiTheme="minorHAnsi" w:hAnsiTheme="minorHAnsi"/>
                <w:sz w:val="18"/>
                <w:szCs w:val="18"/>
              </w:rPr>
            </w:pPr>
          </w:p>
        </w:tc>
        <w:tc>
          <w:tcPr>
            <w:tcW w:w="3969" w:type="dxa"/>
          </w:tcPr>
          <w:p w14:paraId="31C8C107" w14:textId="77777777" w:rsidR="006628D5"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sz w:val="18"/>
                <w:szCs w:val="18"/>
              </w:rPr>
              <w:t>If stygofauna are known to occur in part of an aquifer, it can be assumed that other parts of the aquifer are also suitable</w:t>
            </w:r>
          </w:p>
        </w:tc>
        <w:tc>
          <w:tcPr>
            <w:tcW w:w="3518" w:type="dxa"/>
          </w:tcPr>
          <w:p w14:paraId="31C8C108" w14:textId="77777777" w:rsidR="006628D5"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Geological mapping, existing stygofauna survey data</w:t>
            </w:r>
          </w:p>
        </w:tc>
      </w:tr>
      <w:tr w:rsidR="006628D5" w:rsidRPr="002C2D1C" w14:paraId="31C8C10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0A" w14:textId="77777777" w:rsidR="006628D5" w:rsidRDefault="006628D5" w:rsidP="007B0DF1">
            <w:pPr>
              <w:autoSpaceDE w:val="0"/>
              <w:autoSpaceDN w:val="0"/>
              <w:adjustRightInd w:val="0"/>
              <w:spacing w:after="0"/>
              <w:rPr>
                <w:rFonts w:asciiTheme="minorHAnsi" w:hAnsiTheme="minorHAnsi"/>
                <w:sz w:val="18"/>
                <w:szCs w:val="18"/>
              </w:rPr>
            </w:pPr>
          </w:p>
        </w:tc>
        <w:tc>
          <w:tcPr>
            <w:tcW w:w="3969" w:type="dxa"/>
          </w:tcPr>
          <w:p w14:paraId="31C8C10B" w14:textId="77777777" w:rsidR="006628D5"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sz w:val="18"/>
                <w:szCs w:val="18"/>
              </w:rPr>
              <w:t>Aquifers with no direct hydrological connection to the land surface, or that are not immediately connected to an alluvial, limestone, or calcrete aquifer, are unlikely to be aquifer ecosystems</w:t>
            </w:r>
          </w:p>
        </w:tc>
        <w:tc>
          <w:tcPr>
            <w:tcW w:w="3518" w:type="dxa"/>
          </w:tcPr>
          <w:p w14:paraId="31C8C10C" w14:textId="77777777" w:rsidR="006628D5"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Geological mapping, hydrogeological data</w:t>
            </w:r>
          </w:p>
        </w:tc>
      </w:tr>
      <w:tr w:rsidR="006628D5" w:rsidRPr="002C2D1C" w14:paraId="31C8C11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0E" w14:textId="77777777" w:rsidR="006628D5" w:rsidRPr="002C2D1C" w:rsidRDefault="006628D5" w:rsidP="007B0DF1">
            <w:pPr>
              <w:pStyle w:val="ListParagraph"/>
              <w:autoSpaceDE w:val="0"/>
              <w:autoSpaceDN w:val="0"/>
              <w:adjustRightInd w:val="0"/>
              <w:spacing w:before="0" w:after="0" w:line="240" w:lineRule="auto"/>
              <w:jc w:val="center"/>
              <w:rPr>
                <w:rFonts w:asciiTheme="minorHAnsi" w:hAnsiTheme="minorHAnsi"/>
                <w:sz w:val="18"/>
                <w:szCs w:val="18"/>
              </w:rPr>
            </w:pPr>
          </w:p>
        </w:tc>
        <w:tc>
          <w:tcPr>
            <w:tcW w:w="3969" w:type="dxa"/>
          </w:tcPr>
          <w:p w14:paraId="31C8C10F" w14:textId="77777777" w:rsidR="006628D5" w:rsidRPr="002C2D1C" w:rsidRDefault="006628D5" w:rsidP="007B0DF1">
            <w:pPr>
              <w:pStyle w:val="ListParagraph"/>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SURFACE GDE</w:t>
            </w:r>
            <w:r w:rsidR="00797194">
              <w:rPr>
                <w:rFonts w:asciiTheme="minorHAnsi" w:hAnsiTheme="minorHAnsi"/>
                <w:sz w:val="18"/>
                <w:szCs w:val="18"/>
              </w:rPr>
              <w:t>s</w:t>
            </w:r>
          </w:p>
        </w:tc>
        <w:tc>
          <w:tcPr>
            <w:tcW w:w="3518" w:type="dxa"/>
          </w:tcPr>
          <w:p w14:paraId="31C8C110" w14:textId="77777777" w:rsidR="006628D5" w:rsidRPr="002C2D1C" w:rsidRDefault="006628D5" w:rsidP="007B0DF1">
            <w:pPr>
              <w:pStyle w:val="ListParagraph"/>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6628D5" w:rsidRPr="002C2D1C" w14:paraId="31C8C11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12"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4</w:t>
            </w:r>
          </w:p>
        </w:tc>
        <w:tc>
          <w:tcPr>
            <w:tcW w:w="3969" w:type="dxa"/>
          </w:tcPr>
          <w:p w14:paraId="31C8C113"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Wetlands inundated for prolonged periods, especially through prolonged dry periods, are likely to be connected to groundwater</w:t>
            </w:r>
          </w:p>
        </w:tc>
        <w:tc>
          <w:tcPr>
            <w:tcW w:w="3518" w:type="dxa"/>
          </w:tcPr>
          <w:p w14:paraId="31C8C114"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Wetland/spring map; groundwater regime; temporal inundation map</w:t>
            </w:r>
          </w:p>
        </w:tc>
      </w:tr>
      <w:tr w:rsidR="006628D5" w:rsidRPr="002C2D1C" w14:paraId="31C8C11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16"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17"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Specific wetland types are indicative of groundwater discharge </w:t>
            </w:r>
            <w:r>
              <w:rPr>
                <w:rFonts w:asciiTheme="minorHAnsi" w:hAnsiTheme="minorHAnsi"/>
                <w:sz w:val="18"/>
                <w:szCs w:val="18"/>
              </w:rPr>
              <w:t>(i</w:t>
            </w:r>
            <w:r w:rsidR="00797194">
              <w:rPr>
                <w:rFonts w:asciiTheme="minorHAnsi" w:hAnsiTheme="minorHAnsi"/>
                <w:sz w:val="18"/>
                <w:szCs w:val="18"/>
              </w:rPr>
              <w:t>.</w:t>
            </w:r>
            <w:r>
              <w:rPr>
                <w:rFonts w:asciiTheme="minorHAnsi" w:hAnsiTheme="minorHAnsi"/>
                <w:sz w:val="18"/>
                <w:szCs w:val="18"/>
              </w:rPr>
              <w:t>e</w:t>
            </w:r>
            <w:r w:rsidR="00797194">
              <w:rPr>
                <w:rFonts w:asciiTheme="minorHAnsi" w:hAnsiTheme="minorHAnsi"/>
                <w:sz w:val="18"/>
                <w:szCs w:val="18"/>
              </w:rPr>
              <w:t>.</w:t>
            </w:r>
            <w:r>
              <w:rPr>
                <w:rFonts w:asciiTheme="minorHAnsi" w:hAnsiTheme="minorHAnsi"/>
                <w:sz w:val="18"/>
                <w:szCs w:val="18"/>
              </w:rPr>
              <w:t xml:space="preserve"> deep marsh</w:t>
            </w:r>
            <w:r w:rsidRPr="0028514F">
              <w:rPr>
                <w:rFonts w:asciiTheme="minorHAnsi" w:hAnsiTheme="minorHAnsi"/>
                <w:sz w:val="18"/>
                <w:szCs w:val="18"/>
              </w:rPr>
              <w:t>) (Dahlhaus, 2010)</w:t>
            </w:r>
          </w:p>
        </w:tc>
        <w:tc>
          <w:tcPr>
            <w:tcW w:w="3518" w:type="dxa"/>
          </w:tcPr>
          <w:p w14:paraId="31C8C118" w14:textId="77777777" w:rsidR="006628D5" w:rsidRPr="002C2D1C" w:rsidRDefault="00CF5716"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Wetland classification</w:t>
            </w:r>
          </w:p>
        </w:tc>
      </w:tr>
      <w:tr w:rsidR="006628D5" w:rsidRPr="002C2D1C" w14:paraId="31C8C11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1A"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1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In Victoria, the dominant source of water of wetlands has previously </w:t>
            </w:r>
            <w:r>
              <w:rPr>
                <w:rFonts w:asciiTheme="minorHAnsi" w:hAnsiTheme="minorHAnsi"/>
                <w:sz w:val="18"/>
                <w:szCs w:val="18"/>
              </w:rPr>
              <w:t>been established</w:t>
            </w:r>
          </w:p>
        </w:tc>
        <w:tc>
          <w:tcPr>
            <w:tcW w:w="3518" w:type="dxa"/>
          </w:tcPr>
          <w:p w14:paraId="31C8C11C"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sidRPr="002C2D1C">
              <w:rPr>
                <w:rFonts w:asciiTheme="minorHAnsi" w:hAnsiTheme="minorHAnsi"/>
                <w:bCs/>
                <w:sz w:val="18"/>
                <w:szCs w:val="18"/>
              </w:rPr>
              <w:t>Victoria wetland source map</w:t>
            </w:r>
          </w:p>
        </w:tc>
      </w:tr>
      <w:tr w:rsidR="006628D5" w:rsidRPr="002C2D1C" w14:paraId="31C8C12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1E"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1F"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During dry periods, active vegetation within and surrounding wetlands indicates shallow groundwater levels. Groundwater is likely to be connected to the wetland, but may not discharge </w:t>
            </w:r>
            <w:r>
              <w:rPr>
                <w:rFonts w:asciiTheme="minorHAnsi" w:hAnsiTheme="minorHAnsi"/>
                <w:sz w:val="18"/>
                <w:szCs w:val="18"/>
              </w:rPr>
              <w:t>enough to cause inundation</w:t>
            </w:r>
          </w:p>
        </w:tc>
        <w:tc>
          <w:tcPr>
            <w:tcW w:w="3518" w:type="dxa"/>
          </w:tcPr>
          <w:p w14:paraId="31C8C120" w14:textId="77777777" w:rsidR="006628D5" w:rsidRPr="002C2D1C"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8514F">
              <w:rPr>
                <w:rFonts w:asciiTheme="minorHAnsi" w:hAnsiTheme="minorHAnsi"/>
                <w:sz w:val="18"/>
                <w:szCs w:val="18"/>
              </w:rPr>
              <w:t>Rainfall data; remote sensing greenness/wetness, Photosynthetically Active Radiation; wetland map; groundwater depth</w:t>
            </w:r>
          </w:p>
        </w:tc>
      </w:tr>
      <w:tr w:rsidR="006628D5" w:rsidRPr="002C2D1C" w14:paraId="31C8C12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22"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1, 4</w:t>
            </w:r>
          </w:p>
        </w:tc>
        <w:tc>
          <w:tcPr>
            <w:tcW w:w="3969" w:type="dxa"/>
          </w:tcPr>
          <w:p w14:paraId="31C8C123"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Areas with persistent surface water are likely to receive inputs from groundwater with the exception of waterbodies in parts</w:t>
            </w:r>
            <w:r>
              <w:rPr>
                <w:rFonts w:asciiTheme="minorHAnsi" w:hAnsiTheme="minorHAnsi"/>
                <w:sz w:val="18"/>
                <w:szCs w:val="18"/>
              </w:rPr>
              <w:t xml:space="preserve"> of the Lake Eyre Basin</w:t>
            </w:r>
            <w:r w:rsidRPr="00165C46">
              <w:rPr>
                <w:rFonts w:asciiTheme="minorHAnsi" w:hAnsiTheme="minorHAnsi"/>
                <w:sz w:val="18"/>
                <w:szCs w:val="18"/>
              </w:rPr>
              <w:t xml:space="preserve"> </w:t>
            </w:r>
          </w:p>
        </w:tc>
        <w:tc>
          <w:tcPr>
            <w:tcW w:w="3518" w:type="dxa"/>
          </w:tcPr>
          <w:p w14:paraId="31C8C124"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Permanent water map (remote sensing)</w:t>
            </w:r>
            <w:r>
              <w:rPr>
                <w:rFonts w:asciiTheme="minorHAnsi" w:hAnsiTheme="minorHAnsi"/>
                <w:sz w:val="18"/>
                <w:szCs w:val="18"/>
              </w:rPr>
              <w:t>; wetland/</w:t>
            </w:r>
            <w:proofErr w:type="spellStart"/>
            <w:r>
              <w:rPr>
                <w:rFonts w:asciiTheme="minorHAnsi" w:hAnsiTheme="minorHAnsi"/>
                <w:sz w:val="18"/>
                <w:szCs w:val="18"/>
              </w:rPr>
              <w:t>river</w:t>
            </w:r>
            <w:r w:rsidRPr="002C2D1C">
              <w:rPr>
                <w:rFonts w:asciiTheme="minorHAnsi" w:hAnsiTheme="minorHAnsi"/>
                <w:sz w:val="18"/>
                <w:szCs w:val="18"/>
              </w:rPr>
              <w:t>map</w:t>
            </w:r>
            <w:proofErr w:type="spellEnd"/>
          </w:p>
        </w:tc>
      </w:tr>
      <w:tr w:rsidR="006628D5" w:rsidRPr="002C2D1C" w14:paraId="31C8C12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26"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6</w:t>
            </w:r>
          </w:p>
        </w:tc>
        <w:tc>
          <w:tcPr>
            <w:tcW w:w="3969" w:type="dxa"/>
          </w:tcPr>
          <w:p w14:paraId="31C8C127"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 xml:space="preserve">Vegetation identified as ‘GDEs that rely on the surface presence of groundwater’ indicate the presence of shallow </w:t>
            </w:r>
            <w:proofErr w:type="spellStart"/>
            <w:r w:rsidRPr="00165C46">
              <w:rPr>
                <w:rFonts w:asciiTheme="minorHAnsi" w:hAnsiTheme="minorHAnsi"/>
                <w:sz w:val="18"/>
                <w:szCs w:val="18"/>
              </w:rPr>
              <w:t>watertables</w:t>
            </w:r>
            <w:proofErr w:type="spellEnd"/>
            <w:r w:rsidRPr="00165C46">
              <w:rPr>
                <w:rFonts w:asciiTheme="minorHAnsi" w:hAnsiTheme="minorHAnsi"/>
                <w:sz w:val="18"/>
                <w:szCs w:val="18"/>
              </w:rPr>
              <w:t xml:space="preserve"> and potential diffuse groundwater discharge into adjacent wetl</w:t>
            </w:r>
            <w:r>
              <w:rPr>
                <w:rFonts w:asciiTheme="minorHAnsi" w:hAnsiTheme="minorHAnsi"/>
                <w:sz w:val="18"/>
                <w:szCs w:val="18"/>
              </w:rPr>
              <w:t>ands</w:t>
            </w:r>
          </w:p>
        </w:tc>
        <w:tc>
          <w:tcPr>
            <w:tcW w:w="3518" w:type="dxa"/>
          </w:tcPr>
          <w:p w14:paraId="31C8C128" w14:textId="77777777" w:rsidR="006628D5" w:rsidRPr="002C2D1C" w:rsidRDefault="00CF5716"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GDE Atlas; vegetation map</w:t>
            </w:r>
          </w:p>
        </w:tc>
      </w:tr>
      <w:tr w:rsidR="006628D5" w:rsidRPr="002C2D1C" w14:paraId="31C8C12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2A"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2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Waterbodies that occur in the same geomorphic setting as losing rivers are less likely to be connected to groundwater</w:t>
            </w:r>
          </w:p>
        </w:tc>
        <w:tc>
          <w:tcPr>
            <w:tcW w:w="3518" w:type="dxa"/>
          </w:tcPr>
          <w:p w14:paraId="31C8C12C"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Geologic mapping; wetland/river map/; river classification map; a</w:t>
            </w:r>
            <w:r>
              <w:rPr>
                <w:rFonts w:asciiTheme="minorHAnsi" w:hAnsiTheme="minorHAnsi"/>
                <w:sz w:val="18"/>
                <w:szCs w:val="18"/>
              </w:rPr>
              <w:t xml:space="preserve">quifer map; depth the </w:t>
            </w:r>
            <w:proofErr w:type="spellStart"/>
            <w:r>
              <w:rPr>
                <w:rFonts w:asciiTheme="minorHAnsi" w:hAnsiTheme="minorHAnsi"/>
                <w:sz w:val="18"/>
                <w:szCs w:val="18"/>
              </w:rPr>
              <w:t>watertable</w:t>
            </w:r>
            <w:proofErr w:type="spellEnd"/>
          </w:p>
        </w:tc>
      </w:tr>
      <w:tr w:rsidR="006628D5" w:rsidRPr="002C2D1C" w14:paraId="31C8C13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2E"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2F"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 xml:space="preserve">Wetlands that contain peaty soils are likely to have been formed through groundwater </w:t>
            </w:r>
            <w:r>
              <w:rPr>
                <w:rFonts w:asciiTheme="minorHAnsi" w:hAnsiTheme="minorHAnsi"/>
                <w:sz w:val="18"/>
                <w:szCs w:val="18"/>
              </w:rPr>
              <w:t>discharge</w:t>
            </w:r>
          </w:p>
        </w:tc>
        <w:tc>
          <w:tcPr>
            <w:tcW w:w="3518" w:type="dxa"/>
          </w:tcPr>
          <w:p w14:paraId="31C8C130" w14:textId="77777777" w:rsidR="006628D5" w:rsidRPr="002C2D1C"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Soil type map; wetland map</w:t>
            </w:r>
          </w:p>
        </w:tc>
      </w:tr>
      <w:tr w:rsidR="006628D5" w:rsidRPr="002C2D1C" w14:paraId="31C8C13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32"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33"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Underlying aquifer indicating groundwater discharge to surface.</w:t>
            </w:r>
          </w:p>
        </w:tc>
        <w:tc>
          <w:tcPr>
            <w:tcW w:w="3518" w:type="dxa"/>
          </w:tcPr>
          <w:p w14:paraId="31C8C134" w14:textId="77777777" w:rsidR="006628D5" w:rsidRPr="002C2D1C"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Aquifer map; wetland/river map</w:t>
            </w:r>
          </w:p>
        </w:tc>
      </w:tr>
      <w:tr w:rsidR="006628D5" w:rsidRPr="002C2D1C" w14:paraId="31C8C13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36"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37"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Underlying geology indicates potential for groundwater discharge to surface -</w:t>
            </w:r>
            <w:r w:rsidRPr="00165C46">
              <w:rPr>
                <w:sz w:val="18"/>
                <w:szCs w:val="18"/>
              </w:rPr>
              <w:t xml:space="preserve"> </w:t>
            </w:r>
            <w:proofErr w:type="spellStart"/>
            <w:r w:rsidRPr="00165C46">
              <w:rPr>
                <w:rFonts w:asciiTheme="minorHAnsi" w:hAnsiTheme="minorHAnsi"/>
                <w:sz w:val="18"/>
                <w:szCs w:val="18"/>
              </w:rPr>
              <w:t>baseflow</w:t>
            </w:r>
            <w:proofErr w:type="spellEnd"/>
            <w:r w:rsidRPr="00165C46">
              <w:rPr>
                <w:rFonts w:asciiTheme="minorHAnsi" w:hAnsiTheme="minorHAnsi"/>
                <w:sz w:val="18"/>
                <w:szCs w:val="18"/>
              </w:rPr>
              <w:t xml:space="preserve"> contribution from fractured rock aquifer, limestone and alluvium</w:t>
            </w:r>
          </w:p>
        </w:tc>
        <w:tc>
          <w:tcPr>
            <w:tcW w:w="3518" w:type="dxa"/>
          </w:tcPr>
          <w:p w14:paraId="31C8C138" w14:textId="77777777" w:rsidR="006628D5" w:rsidRPr="002C2D1C"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C2D1C">
              <w:rPr>
                <w:rFonts w:asciiTheme="minorHAnsi" w:hAnsiTheme="minorHAnsi"/>
                <w:sz w:val="18"/>
                <w:szCs w:val="18"/>
              </w:rPr>
              <w:t>Geology mapping; aquifer map; wetland/river map</w:t>
            </w:r>
          </w:p>
        </w:tc>
      </w:tr>
      <w:tr w:rsidR="006628D5" w:rsidRPr="002C2D1C" w14:paraId="31C8C13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3A"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3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 xml:space="preserve">Rivers and streams within regions of shallow </w:t>
            </w:r>
            <w:proofErr w:type="spellStart"/>
            <w:r w:rsidRPr="00165C46">
              <w:rPr>
                <w:rFonts w:asciiTheme="minorHAnsi" w:hAnsiTheme="minorHAnsi"/>
                <w:sz w:val="18"/>
                <w:szCs w:val="18"/>
              </w:rPr>
              <w:t>watertables</w:t>
            </w:r>
            <w:proofErr w:type="spellEnd"/>
            <w:r w:rsidRPr="00165C46">
              <w:rPr>
                <w:rFonts w:asciiTheme="minorHAnsi" w:hAnsiTheme="minorHAnsi"/>
                <w:sz w:val="18"/>
                <w:szCs w:val="18"/>
              </w:rPr>
              <w:t xml:space="preserve"> are more likely to be connected than in regions of deeper </w:t>
            </w:r>
            <w:proofErr w:type="spellStart"/>
            <w:r w:rsidRPr="00165C46">
              <w:rPr>
                <w:rFonts w:asciiTheme="minorHAnsi" w:hAnsiTheme="minorHAnsi"/>
                <w:sz w:val="18"/>
                <w:szCs w:val="18"/>
              </w:rPr>
              <w:t>water</w:t>
            </w:r>
            <w:r>
              <w:rPr>
                <w:rFonts w:asciiTheme="minorHAnsi" w:hAnsiTheme="minorHAnsi"/>
                <w:sz w:val="18"/>
                <w:szCs w:val="18"/>
              </w:rPr>
              <w:t>tables</w:t>
            </w:r>
            <w:proofErr w:type="spellEnd"/>
          </w:p>
        </w:tc>
        <w:tc>
          <w:tcPr>
            <w:tcW w:w="3518" w:type="dxa"/>
          </w:tcPr>
          <w:p w14:paraId="31C8C13C" w14:textId="77777777" w:rsidR="006628D5" w:rsidRPr="009C37EB"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Wetland/river map; depth to groundwater</w:t>
            </w:r>
          </w:p>
        </w:tc>
      </w:tr>
      <w:tr w:rsidR="006628D5" w:rsidRPr="002C2D1C" w14:paraId="31C8C14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3E"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3F"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Where groundwater levels are the same or higher elevation than the base of a water body, groundwater discharge occurs to that water body</w:t>
            </w:r>
          </w:p>
        </w:tc>
        <w:tc>
          <w:tcPr>
            <w:tcW w:w="3518" w:type="dxa"/>
          </w:tcPr>
          <w:p w14:paraId="31C8C140" w14:textId="77777777" w:rsidR="006628D5" w:rsidRPr="009C37EB"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DEM; depth to groundwater; wetland/river map</w:t>
            </w:r>
          </w:p>
        </w:tc>
      </w:tr>
      <w:tr w:rsidR="006628D5" w:rsidRPr="002C2D1C" w14:paraId="31C8C14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42"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43"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 xml:space="preserve">Where major rivers have been mapped as </w:t>
            </w:r>
            <w:r w:rsidRPr="0028514F">
              <w:rPr>
                <w:rFonts w:asciiTheme="minorHAnsi" w:hAnsiTheme="minorHAnsi"/>
                <w:sz w:val="18"/>
                <w:szCs w:val="18"/>
              </w:rPr>
              <w:t>losing (Parsons et al., 2008)</w:t>
            </w:r>
            <w:r w:rsidRPr="00165C46">
              <w:rPr>
                <w:rFonts w:asciiTheme="minorHAnsi" w:hAnsiTheme="minorHAnsi"/>
                <w:sz w:val="18"/>
                <w:szCs w:val="18"/>
              </w:rPr>
              <w:t xml:space="preserve"> other rivers within the same landscape unit are also </w:t>
            </w:r>
            <w:r>
              <w:rPr>
                <w:rFonts w:asciiTheme="minorHAnsi" w:hAnsiTheme="minorHAnsi"/>
                <w:sz w:val="18"/>
                <w:szCs w:val="18"/>
              </w:rPr>
              <w:t>likely to be losing and not support GDEs</w:t>
            </w:r>
          </w:p>
        </w:tc>
        <w:tc>
          <w:tcPr>
            <w:tcW w:w="3518" w:type="dxa"/>
          </w:tcPr>
          <w:p w14:paraId="31C8C144" w14:textId="77777777" w:rsidR="006628D5" w:rsidRPr="009C37EB"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Wetland/river map; river classification</w:t>
            </w:r>
          </w:p>
        </w:tc>
      </w:tr>
      <w:tr w:rsidR="006628D5" w:rsidRPr="002C2D1C" w14:paraId="31C8C14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46"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47" w14:textId="77777777" w:rsidR="006628D5" w:rsidRPr="00165C46" w:rsidRDefault="006628D5" w:rsidP="000329C4">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Where cracking clay soils exist or H</w:t>
            </w:r>
            <w:r w:rsidR="000329C4">
              <w:rPr>
                <w:rFonts w:asciiTheme="minorHAnsi" w:hAnsiTheme="minorHAnsi"/>
                <w:sz w:val="18"/>
                <w:szCs w:val="18"/>
              </w:rPr>
              <w:t>o</w:t>
            </w:r>
            <w:r w:rsidRPr="00165C46">
              <w:rPr>
                <w:rFonts w:asciiTheme="minorHAnsi" w:hAnsiTheme="minorHAnsi"/>
                <w:sz w:val="18"/>
                <w:szCs w:val="18"/>
              </w:rPr>
              <w:t>locene muds, waterbodies are les</w:t>
            </w:r>
            <w:r>
              <w:rPr>
                <w:rFonts w:asciiTheme="minorHAnsi" w:hAnsiTheme="minorHAnsi"/>
                <w:sz w:val="18"/>
                <w:szCs w:val="18"/>
              </w:rPr>
              <w:t>s likely to be groundwater fed</w:t>
            </w:r>
          </w:p>
        </w:tc>
        <w:tc>
          <w:tcPr>
            <w:tcW w:w="3518" w:type="dxa"/>
          </w:tcPr>
          <w:p w14:paraId="31C8C148" w14:textId="77777777" w:rsidR="006628D5" w:rsidRPr="004C5CBE"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Soil map; wetland/river map</w:t>
            </w:r>
          </w:p>
        </w:tc>
      </w:tr>
      <w:tr w:rsidR="006628D5" w:rsidRPr="002C2D1C" w14:paraId="31C8C14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4A"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4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Waterbodies intersecting a known spring loc</w:t>
            </w:r>
            <w:r>
              <w:rPr>
                <w:rFonts w:asciiTheme="minorHAnsi" w:hAnsiTheme="minorHAnsi"/>
                <w:sz w:val="18"/>
                <w:szCs w:val="18"/>
              </w:rPr>
              <w:t>ation are more likely to be GDEs</w:t>
            </w:r>
          </w:p>
        </w:tc>
        <w:tc>
          <w:tcPr>
            <w:tcW w:w="3518" w:type="dxa"/>
          </w:tcPr>
          <w:p w14:paraId="31C8C14C" w14:textId="77777777" w:rsidR="006628D5" w:rsidRPr="004C5CBE"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Wetland/river map; known spring locations</w:t>
            </w:r>
          </w:p>
        </w:tc>
      </w:tr>
      <w:tr w:rsidR="006628D5" w:rsidRPr="002C2D1C" w14:paraId="31C8C15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4E"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4F"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Rivers flowing through fractured rock aquifers in the Adelaide Geosyncline and through the GAB aquifers are likely</w:t>
            </w:r>
            <w:r>
              <w:rPr>
                <w:rFonts w:asciiTheme="minorHAnsi" w:hAnsiTheme="minorHAnsi"/>
                <w:sz w:val="18"/>
                <w:szCs w:val="18"/>
              </w:rPr>
              <w:t xml:space="preserve"> to receive groundwater inputs</w:t>
            </w:r>
          </w:p>
        </w:tc>
        <w:tc>
          <w:tcPr>
            <w:tcW w:w="3518" w:type="dxa"/>
          </w:tcPr>
          <w:p w14:paraId="31C8C150" w14:textId="77777777" w:rsidR="006628D5" w:rsidRPr="004C5CBE"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Aquifer type; wetland/river map</w:t>
            </w:r>
          </w:p>
        </w:tc>
      </w:tr>
      <w:tr w:rsidR="006628D5" w:rsidRPr="002C2D1C" w14:paraId="31C8C15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52"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6</w:t>
            </w:r>
          </w:p>
        </w:tc>
        <w:tc>
          <w:tcPr>
            <w:tcW w:w="3969" w:type="dxa"/>
          </w:tcPr>
          <w:p w14:paraId="31C8C153"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Certain swamp vegetation communities indicate likely groundwater inflows</w:t>
            </w:r>
            <w:r>
              <w:rPr>
                <w:rFonts w:asciiTheme="minorHAnsi" w:hAnsiTheme="minorHAnsi"/>
                <w:sz w:val="18"/>
                <w:szCs w:val="18"/>
              </w:rPr>
              <w:t xml:space="preserve"> or known GDE vegetation </w:t>
            </w:r>
          </w:p>
        </w:tc>
        <w:tc>
          <w:tcPr>
            <w:tcW w:w="3518" w:type="dxa"/>
          </w:tcPr>
          <w:p w14:paraId="31C8C154" w14:textId="77777777" w:rsidR="006628D5" w:rsidRPr="004C5CBE"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Wetland/river map; vegetation map; depth to groundwater</w:t>
            </w:r>
          </w:p>
        </w:tc>
      </w:tr>
      <w:tr w:rsidR="006628D5" w:rsidRPr="002C2D1C" w14:paraId="31C8C15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56"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1, 4</w:t>
            </w:r>
          </w:p>
        </w:tc>
        <w:tc>
          <w:tcPr>
            <w:tcW w:w="3969" w:type="dxa"/>
          </w:tcPr>
          <w:p w14:paraId="31C8C157" w14:textId="77777777" w:rsidR="006628D5" w:rsidRPr="00165C46" w:rsidRDefault="006628D5" w:rsidP="000329C4">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Permanent water regime is indicative of groundwater discharge which maintains flow/water </w:t>
            </w:r>
            <w:r w:rsidRPr="00165C46">
              <w:rPr>
                <w:rFonts w:asciiTheme="minorHAnsi" w:hAnsiTheme="minorHAnsi"/>
                <w:sz w:val="18"/>
                <w:szCs w:val="18"/>
              </w:rPr>
              <w:lastRenderedPageBreak/>
              <w:t>during the dry season, except when H</w:t>
            </w:r>
            <w:r w:rsidR="000329C4">
              <w:rPr>
                <w:rFonts w:asciiTheme="minorHAnsi" w:hAnsiTheme="minorHAnsi"/>
                <w:sz w:val="18"/>
                <w:szCs w:val="18"/>
              </w:rPr>
              <w:t>o</w:t>
            </w:r>
            <w:r w:rsidRPr="00165C46">
              <w:rPr>
                <w:rFonts w:asciiTheme="minorHAnsi" w:hAnsiTheme="minorHAnsi"/>
                <w:sz w:val="18"/>
                <w:szCs w:val="18"/>
              </w:rPr>
              <w:t xml:space="preserve">locene muds </w:t>
            </w:r>
            <w:r>
              <w:rPr>
                <w:rFonts w:asciiTheme="minorHAnsi" w:hAnsiTheme="minorHAnsi"/>
                <w:sz w:val="18"/>
                <w:szCs w:val="18"/>
              </w:rPr>
              <w:t>and cracking clays are present</w:t>
            </w:r>
          </w:p>
        </w:tc>
        <w:tc>
          <w:tcPr>
            <w:tcW w:w="3518" w:type="dxa"/>
          </w:tcPr>
          <w:p w14:paraId="31C8C158" w14:textId="77777777" w:rsidR="006628D5" w:rsidRPr="004C5CBE"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lastRenderedPageBreak/>
              <w:t>Surface water regime; rainfall/climate; soil type map</w:t>
            </w:r>
          </w:p>
        </w:tc>
      </w:tr>
      <w:tr w:rsidR="006628D5" w:rsidRPr="002C2D1C" w14:paraId="31C8C15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5A"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5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Certain geological formations are more likely to contribute </w:t>
            </w:r>
            <w:proofErr w:type="spellStart"/>
            <w:r w:rsidRPr="00165C46">
              <w:rPr>
                <w:rFonts w:asciiTheme="minorHAnsi" w:hAnsiTheme="minorHAnsi"/>
                <w:sz w:val="18"/>
                <w:szCs w:val="18"/>
              </w:rPr>
              <w:t>baseflow</w:t>
            </w:r>
            <w:proofErr w:type="spellEnd"/>
            <w:r w:rsidRPr="00165C46">
              <w:rPr>
                <w:rFonts w:asciiTheme="minorHAnsi" w:hAnsiTheme="minorHAnsi"/>
                <w:sz w:val="18"/>
                <w:szCs w:val="18"/>
              </w:rPr>
              <w:t xml:space="preserve"> to rivers (fractured rock in the Adelaide Geosynclines, and outcropping Great Artesian Basin aquifers)</w:t>
            </w:r>
          </w:p>
        </w:tc>
        <w:tc>
          <w:tcPr>
            <w:tcW w:w="3518" w:type="dxa"/>
          </w:tcPr>
          <w:p w14:paraId="31C8C15C" w14:textId="77777777" w:rsidR="006628D5" w:rsidRPr="00B5779E"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Geologic map; aquifer map</w:t>
            </w:r>
          </w:p>
        </w:tc>
      </w:tr>
      <w:tr w:rsidR="006628D5" w:rsidRPr="002C2D1C" w14:paraId="31C8C16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5E"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5F"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Non-permanent waterbodies may receive groundwater contributions if they are in </w:t>
            </w:r>
            <w:r w:rsidRPr="003E1380">
              <w:rPr>
                <w:rFonts w:asciiTheme="minorHAnsi" w:hAnsiTheme="minorHAnsi"/>
                <w:sz w:val="18"/>
                <w:szCs w:val="18"/>
              </w:rPr>
              <w:t>certain lithological and</w:t>
            </w:r>
            <w:r w:rsidRPr="00165C46">
              <w:rPr>
                <w:rFonts w:asciiTheme="minorHAnsi" w:hAnsiTheme="minorHAnsi"/>
                <w:sz w:val="18"/>
                <w:szCs w:val="18"/>
              </w:rPr>
              <w:t xml:space="preserve"> geomorphological units</w:t>
            </w:r>
          </w:p>
        </w:tc>
        <w:tc>
          <w:tcPr>
            <w:tcW w:w="3518" w:type="dxa"/>
          </w:tcPr>
          <w:p w14:paraId="31C8C160" w14:textId="77777777" w:rsidR="006628D5" w:rsidRPr="00B5779E"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Geologic map; wetland/river map; lithological information</w:t>
            </w:r>
          </w:p>
        </w:tc>
      </w:tr>
      <w:tr w:rsidR="006628D5" w:rsidRPr="002C2D1C" w14:paraId="31C8C16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62"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63" w14:textId="77777777" w:rsidR="006628D5" w:rsidRPr="00165C46" w:rsidRDefault="006628D5" w:rsidP="000329C4">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 xml:space="preserve">Large fluctuations in </w:t>
            </w:r>
            <w:proofErr w:type="spellStart"/>
            <w:r w:rsidRPr="00165C46">
              <w:rPr>
                <w:rFonts w:asciiTheme="minorHAnsi" w:hAnsiTheme="minorHAnsi"/>
                <w:sz w:val="18"/>
                <w:szCs w:val="18"/>
              </w:rPr>
              <w:t>watertable</w:t>
            </w:r>
            <w:proofErr w:type="spellEnd"/>
            <w:r w:rsidRPr="00165C46">
              <w:rPr>
                <w:rFonts w:asciiTheme="minorHAnsi" w:hAnsiTheme="minorHAnsi"/>
                <w:sz w:val="18"/>
                <w:szCs w:val="18"/>
              </w:rPr>
              <w:t xml:space="preserve"> can result in groundwater discharge to non</w:t>
            </w:r>
            <w:r w:rsidRPr="00165C46">
              <w:rPr>
                <w:rFonts w:asciiTheme="minorHAnsi" w:hAnsiTheme="minorHAnsi" w:cs="Cambria Math"/>
                <w:sz w:val="18"/>
                <w:szCs w:val="18"/>
              </w:rPr>
              <w:t>‐</w:t>
            </w:r>
            <w:r w:rsidRPr="00165C46">
              <w:rPr>
                <w:rFonts w:asciiTheme="minorHAnsi" w:hAnsiTheme="minorHAnsi"/>
                <w:sz w:val="18"/>
                <w:szCs w:val="18"/>
              </w:rPr>
              <w:t xml:space="preserve">permanent water bodies late in the wet season. Large fluctuations in </w:t>
            </w:r>
            <w:proofErr w:type="spellStart"/>
            <w:r w:rsidRPr="00165C46">
              <w:rPr>
                <w:rFonts w:asciiTheme="minorHAnsi" w:hAnsiTheme="minorHAnsi"/>
                <w:sz w:val="18"/>
                <w:szCs w:val="18"/>
              </w:rPr>
              <w:t>watertable</w:t>
            </w:r>
            <w:proofErr w:type="spellEnd"/>
            <w:r w:rsidRPr="00165C46">
              <w:rPr>
                <w:rFonts w:asciiTheme="minorHAnsi" w:hAnsiTheme="minorHAnsi"/>
                <w:sz w:val="18"/>
                <w:szCs w:val="18"/>
              </w:rPr>
              <w:t xml:space="preserve"> are expected to occur where rainfall is high (&gt;1000 mm/</w:t>
            </w:r>
            <w:proofErr w:type="spellStart"/>
            <w:r w:rsidRPr="00165C46">
              <w:rPr>
                <w:rFonts w:asciiTheme="minorHAnsi" w:hAnsiTheme="minorHAnsi"/>
                <w:sz w:val="18"/>
                <w:szCs w:val="18"/>
              </w:rPr>
              <w:t>yr</w:t>
            </w:r>
            <w:proofErr w:type="spellEnd"/>
            <w:r w:rsidRPr="00165C46">
              <w:rPr>
                <w:rFonts w:asciiTheme="minorHAnsi" w:hAnsiTheme="minorHAnsi"/>
                <w:sz w:val="18"/>
                <w:szCs w:val="18"/>
              </w:rPr>
              <w:t>), and intense (&gt;60% of annual rainfall occurs in a 3</w:t>
            </w:r>
            <w:r w:rsidR="000329C4">
              <w:rPr>
                <w:rFonts w:asciiTheme="minorHAnsi" w:hAnsiTheme="minorHAnsi"/>
                <w:sz w:val="18"/>
                <w:szCs w:val="18"/>
              </w:rPr>
              <w:t>-</w:t>
            </w:r>
            <w:r w:rsidRPr="00165C46">
              <w:rPr>
                <w:rFonts w:asciiTheme="minorHAnsi" w:hAnsiTheme="minorHAnsi"/>
                <w:sz w:val="18"/>
                <w:szCs w:val="18"/>
              </w:rPr>
              <w:t>month period; and there are at least 10 days where &gt;25 mm rainfa</w:t>
            </w:r>
            <w:r>
              <w:rPr>
                <w:rFonts w:asciiTheme="minorHAnsi" w:hAnsiTheme="minorHAnsi"/>
                <w:sz w:val="18"/>
                <w:szCs w:val="18"/>
              </w:rPr>
              <w:t>ll)</w:t>
            </w:r>
          </w:p>
        </w:tc>
        <w:tc>
          <w:tcPr>
            <w:tcW w:w="3518" w:type="dxa"/>
          </w:tcPr>
          <w:p w14:paraId="31C8C164" w14:textId="77777777" w:rsidR="006628D5" w:rsidRPr="00B5779E"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Groundwater regime; rainfall</w:t>
            </w:r>
          </w:p>
        </w:tc>
      </w:tr>
      <w:tr w:rsidR="006628D5" w:rsidRPr="002C2D1C" w14:paraId="31C8C16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66"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67"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Low lying and break of slope (less than 5</w:t>
            </w:r>
            <w:r w:rsidRPr="00165C46">
              <w:rPr>
                <w:rFonts w:asciiTheme="minorHAnsi" w:hAnsiTheme="minorHAnsi"/>
                <w:sz w:val="18"/>
                <w:szCs w:val="18"/>
                <w:vertAlign w:val="superscript"/>
              </w:rPr>
              <w:t>o</w:t>
            </w:r>
            <w:r w:rsidRPr="00165C46">
              <w:rPr>
                <w:rFonts w:asciiTheme="minorHAnsi" w:hAnsiTheme="minorHAnsi"/>
                <w:sz w:val="18"/>
                <w:szCs w:val="18"/>
              </w:rPr>
              <w:t>) landscapes are lik</w:t>
            </w:r>
            <w:r>
              <w:rPr>
                <w:rFonts w:asciiTheme="minorHAnsi" w:hAnsiTheme="minorHAnsi"/>
                <w:sz w:val="18"/>
                <w:szCs w:val="18"/>
              </w:rPr>
              <w:t xml:space="preserve">ely to have shallow </w:t>
            </w:r>
            <w:proofErr w:type="spellStart"/>
            <w:r w:rsidR="00AB6B3E">
              <w:rPr>
                <w:rFonts w:asciiTheme="minorHAnsi" w:hAnsiTheme="minorHAnsi"/>
                <w:sz w:val="18"/>
                <w:szCs w:val="18"/>
              </w:rPr>
              <w:t>watertable</w:t>
            </w:r>
            <w:r>
              <w:rPr>
                <w:rFonts w:asciiTheme="minorHAnsi" w:hAnsiTheme="minorHAnsi"/>
                <w:sz w:val="18"/>
                <w:szCs w:val="18"/>
              </w:rPr>
              <w:t>s</w:t>
            </w:r>
            <w:proofErr w:type="spellEnd"/>
          </w:p>
        </w:tc>
        <w:tc>
          <w:tcPr>
            <w:tcW w:w="3518" w:type="dxa"/>
          </w:tcPr>
          <w:p w14:paraId="31C8C168" w14:textId="77777777" w:rsidR="006628D5" w:rsidRPr="000C2941"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Aspect map; DEM; depth to groundwater</w:t>
            </w:r>
          </w:p>
        </w:tc>
      </w:tr>
      <w:tr w:rsidR="006628D5" w:rsidRPr="002C2D1C" w14:paraId="31C8C16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6A"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6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 xml:space="preserve">Slope on specific geology types is an indication of shallow </w:t>
            </w:r>
            <w:proofErr w:type="spellStart"/>
            <w:r w:rsidRPr="00165C46">
              <w:rPr>
                <w:rFonts w:asciiTheme="minorHAnsi" w:hAnsiTheme="minorHAnsi"/>
                <w:sz w:val="18"/>
                <w:szCs w:val="18"/>
              </w:rPr>
              <w:t>water</w:t>
            </w:r>
            <w:r>
              <w:rPr>
                <w:rFonts w:asciiTheme="minorHAnsi" w:hAnsiTheme="minorHAnsi"/>
                <w:sz w:val="18"/>
                <w:szCs w:val="18"/>
              </w:rPr>
              <w:t>tables</w:t>
            </w:r>
            <w:proofErr w:type="spellEnd"/>
          </w:p>
        </w:tc>
        <w:tc>
          <w:tcPr>
            <w:tcW w:w="3518" w:type="dxa"/>
          </w:tcPr>
          <w:p w14:paraId="31C8C16C" w14:textId="77777777" w:rsidR="006628D5" w:rsidRPr="00F83209"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Aspect map; geology map; depth to groundwater</w:t>
            </w:r>
          </w:p>
        </w:tc>
      </w:tr>
      <w:tr w:rsidR="006628D5" w:rsidRPr="002C2D1C" w14:paraId="31C8C17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6E"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6</w:t>
            </w:r>
          </w:p>
        </w:tc>
        <w:tc>
          <w:tcPr>
            <w:tcW w:w="3969" w:type="dxa"/>
          </w:tcPr>
          <w:p w14:paraId="31C8C16F"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165C46">
              <w:rPr>
                <w:rFonts w:asciiTheme="minorHAnsi" w:hAnsiTheme="minorHAnsi"/>
                <w:sz w:val="18"/>
                <w:szCs w:val="18"/>
              </w:rPr>
              <w:t>Vegetation is indicator of groundwater discharge</w:t>
            </w:r>
            <w:r>
              <w:rPr>
                <w:rFonts w:asciiTheme="minorHAnsi" w:hAnsiTheme="minorHAnsi"/>
                <w:sz w:val="18"/>
                <w:szCs w:val="18"/>
              </w:rPr>
              <w:t xml:space="preserve"> (known GDE)</w:t>
            </w:r>
          </w:p>
        </w:tc>
        <w:tc>
          <w:tcPr>
            <w:tcW w:w="3518" w:type="dxa"/>
          </w:tcPr>
          <w:p w14:paraId="31C8C170" w14:textId="77777777" w:rsidR="006628D5" w:rsidRPr="00F83209"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Known vegetation GDEs; depth to groundwater</w:t>
            </w:r>
          </w:p>
        </w:tc>
      </w:tr>
      <w:tr w:rsidR="006628D5" w:rsidRPr="002C2D1C" w14:paraId="31C8C175"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72"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73"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Geology is an indicator of groundwater connection to wetland groundwater discharge (only applies to Bruny Island)</w:t>
            </w:r>
          </w:p>
        </w:tc>
        <w:tc>
          <w:tcPr>
            <w:tcW w:w="3518" w:type="dxa"/>
          </w:tcPr>
          <w:p w14:paraId="31C8C174" w14:textId="77777777" w:rsidR="006628D5" w:rsidRPr="00307CBF"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Geologic map; wetland/river map</w:t>
            </w:r>
          </w:p>
        </w:tc>
      </w:tr>
      <w:tr w:rsidR="006628D5" w:rsidRPr="002C2D1C" w14:paraId="31C8C179"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76"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77"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Elevation is an indicator of groundwater connection to wetlands (only applies to Bruny Island and Napier region, Struan region)</w:t>
            </w:r>
          </w:p>
        </w:tc>
        <w:tc>
          <w:tcPr>
            <w:tcW w:w="3518" w:type="dxa"/>
          </w:tcPr>
          <w:p w14:paraId="31C8C178" w14:textId="77777777" w:rsidR="006628D5" w:rsidRPr="00307CBF"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DEM; wetland/river map</w:t>
            </w:r>
          </w:p>
        </w:tc>
      </w:tr>
      <w:tr w:rsidR="006628D5" w:rsidRPr="002C2D1C" w14:paraId="31C8C17D" w14:textId="77777777" w:rsidTr="007F0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7A" w14:textId="77777777" w:rsidR="006628D5" w:rsidRPr="00165C46" w:rsidRDefault="006628D5" w:rsidP="007B0DF1">
            <w:pPr>
              <w:autoSpaceDE w:val="0"/>
              <w:autoSpaceDN w:val="0"/>
              <w:adjustRightInd w:val="0"/>
              <w:spacing w:after="0"/>
              <w:rPr>
                <w:rFonts w:asciiTheme="minorHAnsi" w:hAnsiTheme="minorHAnsi"/>
                <w:sz w:val="18"/>
                <w:szCs w:val="18"/>
              </w:rPr>
            </w:pPr>
            <w:r>
              <w:rPr>
                <w:rFonts w:asciiTheme="minorHAnsi" w:hAnsiTheme="minorHAnsi"/>
                <w:sz w:val="18"/>
                <w:szCs w:val="18"/>
              </w:rPr>
              <w:t>1, 3, 4</w:t>
            </w:r>
          </w:p>
        </w:tc>
        <w:tc>
          <w:tcPr>
            <w:tcW w:w="3969" w:type="dxa"/>
          </w:tcPr>
          <w:p w14:paraId="31C8C17B" w14:textId="77777777" w:rsidR="006628D5" w:rsidRPr="00165C46"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Streams an indicator of groundwater discharge</w:t>
            </w:r>
          </w:p>
        </w:tc>
        <w:tc>
          <w:tcPr>
            <w:tcW w:w="3518" w:type="dxa"/>
          </w:tcPr>
          <w:p w14:paraId="31C8C17C" w14:textId="77777777" w:rsidR="006628D5" w:rsidRPr="00307CBF" w:rsidRDefault="006628D5" w:rsidP="007B0DF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Wetland/river map</w:t>
            </w:r>
          </w:p>
        </w:tc>
      </w:tr>
      <w:tr w:rsidR="006628D5" w:rsidRPr="002C2D1C" w14:paraId="31C8C181" w14:textId="77777777" w:rsidTr="007F011D">
        <w:trPr>
          <w:jc w:val="center"/>
        </w:trPr>
        <w:tc>
          <w:tcPr>
            <w:cnfStyle w:val="001000000000" w:firstRow="0" w:lastRow="0" w:firstColumn="1" w:lastColumn="0" w:oddVBand="0" w:evenVBand="0" w:oddHBand="0" w:evenHBand="0" w:firstRowFirstColumn="0" w:firstRowLastColumn="0" w:lastRowFirstColumn="0" w:lastRowLastColumn="0"/>
            <w:tcW w:w="2038" w:type="dxa"/>
          </w:tcPr>
          <w:p w14:paraId="31C8C17E" w14:textId="77777777" w:rsidR="006628D5" w:rsidRPr="00165C46" w:rsidRDefault="006628D5" w:rsidP="007B0DF1">
            <w:pPr>
              <w:autoSpaceDE w:val="0"/>
              <w:autoSpaceDN w:val="0"/>
              <w:adjustRightInd w:val="0"/>
              <w:spacing w:after="0"/>
              <w:rPr>
                <w:rFonts w:asciiTheme="minorHAnsi" w:hAnsiTheme="minorHAnsi"/>
                <w:sz w:val="18"/>
                <w:szCs w:val="18"/>
              </w:rPr>
            </w:pPr>
          </w:p>
        </w:tc>
        <w:tc>
          <w:tcPr>
            <w:tcW w:w="3969" w:type="dxa"/>
          </w:tcPr>
          <w:p w14:paraId="31C8C17F" w14:textId="77777777" w:rsidR="006628D5" w:rsidRPr="00165C46"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165C46">
              <w:rPr>
                <w:rFonts w:asciiTheme="minorHAnsi" w:hAnsiTheme="minorHAnsi"/>
                <w:sz w:val="18"/>
                <w:szCs w:val="18"/>
              </w:rPr>
              <w:t xml:space="preserve">Geological contacts within steeply incised basalt valleys within the Northwest incised basalt plateau regions are an </w:t>
            </w:r>
            <w:r>
              <w:rPr>
                <w:rFonts w:asciiTheme="minorHAnsi" w:hAnsiTheme="minorHAnsi"/>
                <w:sz w:val="18"/>
                <w:szCs w:val="18"/>
              </w:rPr>
              <w:t>indicator of spring occurrences</w:t>
            </w:r>
          </w:p>
        </w:tc>
        <w:tc>
          <w:tcPr>
            <w:tcW w:w="3518" w:type="dxa"/>
          </w:tcPr>
          <w:p w14:paraId="31C8C180" w14:textId="77777777" w:rsidR="006628D5" w:rsidRPr="00307CBF" w:rsidRDefault="006628D5" w:rsidP="007B0DF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Soil map; geologic map; wetland/river map</w:t>
            </w:r>
          </w:p>
        </w:tc>
      </w:tr>
    </w:tbl>
    <w:p w14:paraId="31C8C182" w14:textId="77777777" w:rsidR="006628D5" w:rsidRDefault="006628D5" w:rsidP="006628D5">
      <w:pPr>
        <w:pStyle w:val="BodyText"/>
      </w:pPr>
    </w:p>
    <w:p w14:paraId="31C8C183" w14:textId="77777777" w:rsidR="006628D5" w:rsidRPr="006628D5" w:rsidRDefault="006628D5" w:rsidP="006628D5">
      <w:pPr>
        <w:pStyle w:val="BodyText"/>
      </w:pPr>
    </w:p>
    <w:p w14:paraId="31C8C184" w14:textId="77777777" w:rsidR="002D2DA3" w:rsidRDefault="002D2DA3" w:rsidP="007C6A17">
      <w:pPr>
        <w:pStyle w:val="Heading9"/>
      </w:pPr>
      <w:bookmarkStart w:id="112" w:name="_Toc509996510"/>
      <w:r>
        <w:lastRenderedPageBreak/>
        <w:t>Assessing Aquifer Ecosystems</w:t>
      </w:r>
      <w:bookmarkEnd w:id="112"/>
    </w:p>
    <w:p w14:paraId="31C8C185" w14:textId="77777777" w:rsidR="009F2DF2" w:rsidRPr="009F2DF2" w:rsidRDefault="009F2DF2" w:rsidP="009F2DF2">
      <w:pPr>
        <w:pStyle w:val="BodyText"/>
      </w:pPr>
      <w:r w:rsidRPr="009F2DF2">
        <w:t>Almost all shallow aquifers contain life in the form of microbes, and can be reasonably presented as ecosystems. While microbes are a key component in many of the ecosystems services provided by aquifer ecosystems, it is not yet practical to take a census of aquifer microbial community for the purpose of impact assessment. Currently, a more pragmatic approach in assessing the biological community is to determine whether the aquifer supports a stygofauna community, with this as the key indicator that an ‘aquifer ecosystem’ is present. ‘Stygofauna’ is a collective term that incorporates a broad suite of animal species, all adapted to living in groundwater, and includes crustaceans, beetles, snails, mites, worms, as well as groups known only from aquifers. They often share physical characteristics such as blindness, elongation, and lack of body pigmentation (Hose et al. 2015).</w:t>
      </w:r>
    </w:p>
    <w:p w14:paraId="31C8C186" w14:textId="77777777" w:rsidR="002D2DA3" w:rsidRDefault="002D2DA3" w:rsidP="002D2DA3">
      <w:pPr>
        <w:pStyle w:val="BodyText"/>
      </w:pPr>
      <w:r w:rsidRPr="001B336D">
        <w:t xml:space="preserve">For impact assessments, the objective of stygofauna sampling should be to determine which </w:t>
      </w:r>
      <w:r w:rsidRPr="002E0FFA">
        <w:rPr>
          <w:u w:val="single"/>
        </w:rPr>
        <w:t>species</w:t>
      </w:r>
      <w:r w:rsidRPr="001B336D">
        <w:t xml:space="preserve"> are living in the aquifers that will be affected </w:t>
      </w:r>
      <w:r w:rsidR="000329C4">
        <w:t xml:space="preserve">by </w:t>
      </w:r>
      <w:r>
        <w:t xml:space="preserve">CSG or LCM </w:t>
      </w:r>
      <w:r w:rsidRPr="001B336D">
        <w:t>activities</w:t>
      </w:r>
      <w:r>
        <w:t xml:space="preserve"> (DSITI, 2014)</w:t>
      </w:r>
      <w:r w:rsidRPr="001B336D">
        <w:t xml:space="preserve">. Once stygofauna are found, an equally important objective is to confirm the same </w:t>
      </w:r>
      <w:r w:rsidRPr="002E0FFA">
        <w:rPr>
          <w:u w:val="single"/>
        </w:rPr>
        <w:t>species</w:t>
      </w:r>
      <w:r w:rsidRPr="001B336D">
        <w:t xml:space="preserve"> live outside the area of impact, so that there is assurance that species will not be placed at risk of extinction.</w:t>
      </w:r>
    </w:p>
    <w:p w14:paraId="31C8C187" w14:textId="77777777" w:rsidR="002D2DA3" w:rsidRPr="002D2DA3" w:rsidRDefault="002D2DA3" w:rsidP="002D2DA3">
      <w:pPr>
        <w:pStyle w:val="BodyText"/>
        <w:rPr>
          <w:i/>
        </w:rPr>
      </w:pPr>
      <w:r w:rsidRPr="002D2DA3">
        <w:rPr>
          <w:i/>
        </w:rPr>
        <w:t xml:space="preserve">Selecting the appropriate sampling points </w:t>
      </w:r>
    </w:p>
    <w:p w14:paraId="31C8C188" w14:textId="77777777" w:rsidR="002D2DA3" w:rsidRPr="0030563D" w:rsidRDefault="00972D65" w:rsidP="002D2DA3">
      <w:pPr>
        <w:pStyle w:val="BodyText"/>
        <w:rPr>
          <w:sz w:val="20"/>
          <w:szCs w:val="20"/>
        </w:rPr>
      </w:pPr>
      <w:r>
        <w:t>Once suitable aquifers have been determined, the next step is to choose suitable sampling locations in those aquifers (</w:t>
      </w:r>
      <w:r>
        <w:fldChar w:fldCharType="begin"/>
      </w:r>
      <w:r>
        <w:instrText xml:space="preserve"> REF _Ref509778286 \h </w:instrText>
      </w:r>
      <w:r>
        <w:fldChar w:fldCharType="separate"/>
      </w:r>
      <w:r w:rsidR="00E96B43">
        <w:t xml:space="preserve">App Table </w:t>
      </w:r>
      <w:r w:rsidR="00E96B43">
        <w:rPr>
          <w:noProof/>
        </w:rPr>
        <w:t>8</w:t>
      </w:r>
      <w:r>
        <w:fldChar w:fldCharType="end"/>
      </w:r>
      <w:r>
        <w:t>).</w:t>
      </w:r>
      <w:r w:rsidR="002D2DA3" w:rsidRPr="0030563D">
        <w:t xml:space="preserve"> Most stygofauna samples will be collected </w:t>
      </w:r>
      <w:r w:rsidR="000329C4">
        <w:t>from</w:t>
      </w:r>
      <w:r w:rsidR="000329C4" w:rsidRPr="0030563D">
        <w:t xml:space="preserve"> </w:t>
      </w:r>
      <w:r w:rsidR="002D2DA3" w:rsidRPr="0030563D">
        <w:t xml:space="preserve">piezometers, bores or wells (collectively referred to here as bores). Bores are rarely constructed specifically for stygofauna sampling. Instead, samples must be collected from an already existing network of bores whose </w:t>
      </w:r>
      <w:r w:rsidR="000329C4">
        <w:t xml:space="preserve">original </w:t>
      </w:r>
      <w:r w:rsidR="002D2DA3" w:rsidRPr="0030563D">
        <w:t xml:space="preserve">purpose </w:t>
      </w:r>
      <w:r w:rsidR="000329C4">
        <w:t>includes</w:t>
      </w:r>
      <w:r w:rsidR="002D2DA3" w:rsidRPr="0030563D">
        <w:t xml:space="preserve"> groundwater quality monitoring, irrigation, abstraction </w:t>
      </w:r>
      <w:r w:rsidR="000329C4">
        <w:t>and/</w:t>
      </w:r>
      <w:r w:rsidR="002D2DA3" w:rsidRPr="0030563D">
        <w:t>or geological exploration.  The type of bore sampled</w:t>
      </w:r>
      <w:r w:rsidR="000329C4">
        <w:t xml:space="preserve"> and</w:t>
      </w:r>
      <w:r w:rsidR="002D2DA3" w:rsidRPr="0030563D">
        <w:t xml:space="preserve"> its construction details and history can influence its effectiveness as an access point to collect stygofauna. Bores need to be located in a suitable area, be of large enough diameter to allow sampling nets or pumps, and be screened at the section of aquifer where stygofauna occur. Optimal bore characteristics are summarised</w:t>
      </w:r>
      <w:r w:rsidR="009F2DF2">
        <w:t xml:space="preserve"> in </w:t>
      </w:r>
      <w:r w:rsidR="009F2DF2">
        <w:fldChar w:fldCharType="begin"/>
      </w:r>
      <w:r w:rsidR="009F2DF2">
        <w:instrText xml:space="preserve"> REF _Ref509930363 \h </w:instrText>
      </w:r>
      <w:r w:rsidR="009F2DF2">
        <w:fldChar w:fldCharType="separate"/>
      </w:r>
      <w:r w:rsidR="00E96B43">
        <w:t xml:space="preserve">App Table </w:t>
      </w:r>
      <w:r w:rsidR="00E96B43">
        <w:rPr>
          <w:noProof/>
        </w:rPr>
        <w:t>9</w:t>
      </w:r>
      <w:r w:rsidR="009F2DF2">
        <w:fldChar w:fldCharType="end"/>
      </w:r>
      <w:r w:rsidR="002D2DA3">
        <w:t>.</w:t>
      </w:r>
    </w:p>
    <w:p w14:paraId="31C8C189" w14:textId="77777777" w:rsidR="002D2DA3" w:rsidRPr="003E1A05" w:rsidRDefault="00BB1DD0" w:rsidP="002D2DA3">
      <w:pPr>
        <w:pStyle w:val="Caption"/>
        <w:rPr>
          <w:b/>
          <w:color w:val="000000" w:themeColor="text1"/>
        </w:rPr>
      </w:pPr>
      <w:bookmarkStart w:id="113" w:name="_Ref509778286"/>
      <w:bookmarkStart w:id="114" w:name="_Toc509991060"/>
      <w:r>
        <w:t>App</w:t>
      </w:r>
      <w:r w:rsidR="002D2DA3">
        <w:t xml:space="preserve"> Table </w:t>
      </w:r>
      <w:r w:rsidR="00085933">
        <w:fldChar w:fldCharType="begin"/>
      </w:r>
      <w:r w:rsidR="00085933">
        <w:instrText xml:space="preserve"> SEQ Apx_Table \* ARABIC </w:instrText>
      </w:r>
      <w:r w:rsidR="00085933">
        <w:fldChar w:fldCharType="separate"/>
      </w:r>
      <w:r w:rsidR="00E96B43">
        <w:rPr>
          <w:noProof/>
        </w:rPr>
        <w:t>8</w:t>
      </w:r>
      <w:r w:rsidR="00085933">
        <w:rPr>
          <w:noProof/>
        </w:rPr>
        <w:fldChar w:fldCharType="end"/>
      </w:r>
      <w:bookmarkEnd w:id="113"/>
      <w:r w:rsidR="002D2DA3" w:rsidRPr="003E1A05">
        <w:rPr>
          <w:color w:val="000000" w:themeColor="text1"/>
        </w:rPr>
        <w:t>. Characteristics of bores most likely to yield stygofauna, provided they are present in the aquifer</w:t>
      </w:r>
      <w:bookmarkEnd w:id="114"/>
    </w:p>
    <w:tbl>
      <w:tblPr>
        <w:tblStyle w:val="TableCSIRO"/>
        <w:tblW w:w="9781" w:type="dxa"/>
        <w:jc w:val="center"/>
        <w:tblInd w:w="0" w:type="dxa"/>
        <w:tblLook w:val="04A0" w:firstRow="1" w:lastRow="0" w:firstColumn="1" w:lastColumn="0" w:noHBand="0" w:noVBand="1"/>
      </w:tblPr>
      <w:tblGrid>
        <w:gridCol w:w="2127"/>
        <w:gridCol w:w="3827"/>
        <w:gridCol w:w="3827"/>
      </w:tblGrid>
      <w:tr w:rsidR="002D2DA3" w:rsidRPr="00AE4E87" w14:paraId="31C8C18D" w14:textId="77777777" w:rsidTr="00544C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noWrap/>
          </w:tcPr>
          <w:p w14:paraId="31C8C18A" w14:textId="77777777" w:rsidR="002D2DA3" w:rsidRPr="00AE4E87" w:rsidRDefault="002D2DA3" w:rsidP="00544C45">
            <w:pPr>
              <w:spacing w:after="200" w:line="280" w:lineRule="exact"/>
              <w:jc w:val="both"/>
              <w:rPr>
                <w:rFonts w:asciiTheme="minorHAnsi" w:eastAsia="Times New Roman" w:hAnsiTheme="minorHAnsi" w:cstheme="minorHAnsi"/>
                <w:color w:val="FFFFFF" w:themeColor="background2"/>
                <w:sz w:val="20"/>
                <w:szCs w:val="24"/>
                <w:lang w:eastAsia="en-US"/>
              </w:rPr>
            </w:pPr>
            <w:r w:rsidRPr="00AE4E87">
              <w:rPr>
                <w:rFonts w:asciiTheme="minorHAnsi" w:eastAsia="Times New Roman" w:hAnsiTheme="minorHAnsi" w:cstheme="minorHAnsi"/>
                <w:color w:val="FFFFFF" w:themeColor="background2"/>
                <w:sz w:val="20"/>
                <w:szCs w:val="24"/>
                <w:lang w:eastAsia="en-US"/>
              </w:rPr>
              <w:t>Bore parameter</w:t>
            </w:r>
          </w:p>
        </w:tc>
        <w:tc>
          <w:tcPr>
            <w:tcW w:w="3827" w:type="dxa"/>
            <w:noWrap/>
          </w:tcPr>
          <w:p w14:paraId="31C8C18B" w14:textId="77777777" w:rsidR="002D2DA3" w:rsidRPr="00AE4E87" w:rsidRDefault="002D2DA3" w:rsidP="00544C45">
            <w:pPr>
              <w:spacing w:after="200" w:line="280" w:lineRule="exac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2"/>
                <w:sz w:val="20"/>
                <w:szCs w:val="24"/>
                <w:lang w:eastAsia="en-US"/>
              </w:rPr>
            </w:pPr>
            <w:r w:rsidRPr="00AE4E87">
              <w:rPr>
                <w:rFonts w:asciiTheme="minorHAnsi" w:eastAsia="Times New Roman" w:hAnsiTheme="minorHAnsi" w:cstheme="minorHAnsi"/>
                <w:color w:val="FFFFFF" w:themeColor="background2"/>
                <w:sz w:val="20"/>
                <w:szCs w:val="24"/>
                <w:lang w:eastAsia="en-US"/>
              </w:rPr>
              <w:t>Preferred option</w:t>
            </w:r>
          </w:p>
        </w:tc>
        <w:tc>
          <w:tcPr>
            <w:tcW w:w="3827" w:type="dxa"/>
            <w:noWrap/>
          </w:tcPr>
          <w:p w14:paraId="31C8C18C" w14:textId="77777777" w:rsidR="002D2DA3" w:rsidRPr="00AE4E87" w:rsidRDefault="002D2DA3" w:rsidP="00544C45">
            <w:pPr>
              <w:spacing w:after="200" w:line="280" w:lineRule="exact"/>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2"/>
                <w:sz w:val="20"/>
                <w:szCs w:val="24"/>
                <w:lang w:eastAsia="en-US"/>
              </w:rPr>
            </w:pPr>
            <w:r w:rsidRPr="00AE4E87">
              <w:rPr>
                <w:rFonts w:asciiTheme="minorHAnsi" w:eastAsia="Times New Roman" w:hAnsiTheme="minorHAnsi" w:cstheme="minorHAnsi"/>
                <w:color w:val="FFFFFF" w:themeColor="background2"/>
                <w:sz w:val="20"/>
                <w:szCs w:val="24"/>
                <w:lang w:eastAsia="en-US"/>
              </w:rPr>
              <w:t>Other suitable options</w:t>
            </w:r>
          </w:p>
        </w:tc>
      </w:tr>
      <w:tr w:rsidR="002D2DA3" w:rsidRPr="00AE4E87" w14:paraId="31C8C191" w14:textId="77777777" w:rsidTr="00544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noWrap/>
          </w:tcPr>
          <w:p w14:paraId="31C8C18E" w14:textId="77777777" w:rsidR="002D2DA3" w:rsidRPr="00AE4E87" w:rsidRDefault="002D2DA3" w:rsidP="00544C45">
            <w:pPr>
              <w:spacing w:after="200" w:line="280" w:lineRule="exact"/>
              <w:jc w:val="both"/>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Diameter</w:t>
            </w:r>
          </w:p>
        </w:tc>
        <w:tc>
          <w:tcPr>
            <w:tcW w:w="3827" w:type="dxa"/>
            <w:noWrap/>
          </w:tcPr>
          <w:p w14:paraId="31C8C18F" w14:textId="77777777" w:rsidR="002D2DA3" w:rsidRPr="00AE4E87" w:rsidRDefault="002D2DA3" w:rsidP="00544C45">
            <w:pPr>
              <w:spacing w:after="200" w:line="280" w:lineRule="exac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 xml:space="preserve">At least 50 mm </w:t>
            </w:r>
          </w:p>
        </w:tc>
        <w:tc>
          <w:tcPr>
            <w:tcW w:w="3827" w:type="dxa"/>
            <w:noWrap/>
          </w:tcPr>
          <w:p w14:paraId="31C8C190" w14:textId="77777777" w:rsidR="002D2DA3" w:rsidRPr="00AE4E87" w:rsidRDefault="002D2DA3" w:rsidP="00544C45">
            <w:pPr>
              <w:spacing w:after="200" w:line="280" w:lineRule="exac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Any suitable groundwater access point greater than 50 mm.</w:t>
            </w:r>
          </w:p>
        </w:tc>
      </w:tr>
      <w:tr w:rsidR="002D2DA3" w:rsidRPr="00AE4E87" w14:paraId="31C8C195" w14:textId="77777777" w:rsidTr="00544C45">
        <w:trPr>
          <w:jc w:val="center"/>
        </w:trPr>
        <w:tc>
          <w:tcPr>
            <w:cnfStyle w:val="001000000000" w:firstRow="0" w:lastRow="0" w:firstColumn="1" w:lastColumn="0" w:oddVBand="0" w:evenVBand="0" w:oddHBand="0" w:evenHBand="0" w:firstRowFirstColumn="0" w:firstRowLastColumn="0" w:lastRowFirstColumn="0" w:lastRowLastColumn="0"/>
            <w:tcW w:w="2127" w:type="dxa"/>
            <w:noWrap/>
          </w:tcPr>
          <w:p w14:paraId="31C8C192" w14:textId="77777777" w:rsidR="002D2DA3" w:rsidRPr="00AE4E87" w:rsidRDefault="002D2DA3" w:rsidP="00544C45">
            <w:pPr>
              <w:spacing w:after="200" w:line="280" w:lineRule="exact"/>
              <w:jc w:val="both"/>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Orientation</w:t>
            </w:r>
          </w:p>
        </w:tc>
        <w:tc>
          <w:tcPr>
            <w:tcW w:w="3827" w:type="dxa"/>
            <w:noWrap/>
          </w:tcPr>
          <w:p w14:paraId="31C8C193" w14:textId="77777777" w:rsidR="002D2DA3" w:rsidRPr="00AE4E87" w:rsidRDefault="002D2DA3" w:rsidP="00544C45">
            <w:pPr>
              <w:spacing w:after="200" w:line="280" w:lineRule="exac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Vertical</w:t>
            </w:r>
          </w:p>
        </w:tc>
        <w:tc>
          <w:tcPr>
            <w:tcW w:w="3827" w:type="dxa"/>
            <w:noWrap/>
          </w:tcPr>
          <w:p w14:paraId="31C8C194" w14:textId="77777777" w:rsidR="002D2DA3" w:rsidRPr="00AE4E87" w:rsidRDefault="002D2DA3" w:rsidP="00544C45">
            <w:pPr>
              <w:spacing w:after="200" w:line="280" w:lineRule="exac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Only vertical bores can be sampled with nets. Bores that are angled slightly away from vertical can be sampled with some pump types if cased.</w:t>
            </w:r>
          </w:p>
        </w:tc>
      </w:tr>
      <w:tr w:rsidR="002D2DA3" w:rsidRPr="00AE4E87" w14:paraId="31C8C199" w14:textId="77777777" w:rsidTr="00544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noWrap/>
          </w:tcPr>
          <w:p w14:paraId="31C8C196" w14:textId="77777777" w:rsidR="002D2DA3" w:rsidRPr="00AE4E87" w:rsidRDefault="002D2DA3" w:rsidP="00544C45">
            <w:pPr>
              <w:spacing w:after="200" w:line="280" w:lineRule="exact"/>
              <w:jc w:val="both"/>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Casing type</w:t>
            </w:r>
          </w:p>
        </w:tc>
        <w:tc>
          <w:tcPr>
            <w:tcW w:w="3827" w:type="dxa"/>
            <w:noWrap/>
          </w:tcPr>
          <w:p w14:paraId="31C8C197" w14:textId="77777777" w:rsidR="002D2DA3" w:rsidRPr="00AE4E87" w:rsidRDefault="002D2DA3" w:rsidP="00544C45">
            <w:pPr>
              <w:spacing w:after="200" w:line="280" w:lineRule="exac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PVC casing</w:t>
            </w:r>
          </w:p>
        </w:tc>
        <w:tc>
          <w:tcPr>
            <w:tcW w:w="3827" w:type="dxa"/>
            <w:noWrap/>
          </w:tcPr>
          <w:p w14:paraId="31C8C198" w14:textId="77777777" w:rsidR="002D2DA3" w:rsidRPr="00AE4E87" w:rsidRDefault="002D2DA3" w:rsidP="000329C4">
            <w:pPr>
              <w:spacing w:after="200" w:line="280" w:lineRule="exac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Steel, concrete or uncased</w:t>
            </w:r>
            <w:r w:rsidR="000329C4">
              <w:rPr>
                <w:rFonts w:asciiTheme="minorHAnsi" w:eastAsia="Times New Roman" w:hAnsiTheme="minorHAnsi" w:cstheme="minorHAnsi"/>
                <w:color w:val="auto"/>
                <w:sz w:val="20"/>
                <w:szCs w:val="24"/>
                <w:lang w:eastAsia="en-US"/>
              </w:rPr>
              <w:t xml:space="preserve"> </w:t>
            </w:r>
            <w:r w:rsidRPr="00AE4E87">
              <w:rPr>
                <w:rFonts w:asciiTheme="minorHAnsi" w:eastAsia="Times New Roman" w:hAnsiTheme="minorHAnsi" w:cstheme="minorHAnsi"/>
                <w:color w:val="auto"/>
                <w:sz w:val="20"/>
                <w:szCs w:val="24"/>
                <w:lang w:eastAsia="en-US"/>
              </w:rPr>
              <w:t>- provided internal surface is smooth.</w:t>
            </w:r>
          </w:p>
        </w:tc>
      </w:tr>
      <w:tr w:rsidR="002D2DA3" w:rsidRPr="00AE4E87" w14:paraId="31C8C19D" w14:textId="77777777" w:rsidTr="00544C45">
        <w:trPr>
          <w:jc w:val="center"/>
        </w:trPr>
        <w:tc>
          <w:tcPr>
            <w:cnfStyle w:val="001000000000" w:firstRow="0" w:lastRow="0" w:firstColumn="1" w:lastColumn="0" w:oddVBand="0" w:evenVBand="0" w:oddHBand="0" w:evenHBand="0" w:firstRowFirstColumn="0" w:firstRowLastColumn="0" w:lastRowFirstColumn="0" w:lastRowLastColumn="0"/>
            <w:tcW w:w="2127" w:type="dxa"/>
            <w:noWrap/>
          </w:tcPr>
          <w:p w14:paraId="31C8C19A" w14:textId="77777777" w:rsidR="002D2DA3" w:rsidRPr="00AE4E87" w:rsidRDefault="002D2DA3" w:rsidP="00544C45">
            <w:pPr>
              <w:spacing w:after="200" w:line="280" w:lineRule="exact"/>
              <w:jc w:val="both"/>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Slot location</w:t>
            </w:r>
          </w:p>
        </w:tc>
        <w:tc>
          <w:tcPr>
            <w:tcW w:w="3827" w:type="dxa"/>
            <w:noWrap/>
          </w:tcPr>
          <w:p w14:paraId="31C8C19B" w14:textId="77777777" w:rsidR="002D2DA3" w:rsidRPr="00AE4E87" w:rsidRDefault="002D2DA3" w:rsidP="00544C45">
            <w:pPr>
              <w:spacing w:after="200" w:line="280" w:lineRule="exac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 xml:space="preserve">Spanning the interface between vadose zone and </w:t>
            </w:r>
            <w:proofErr w:type="spellStart"/>
            <w:r>
              <w:rPr>
                <w:rFonts w:asciiTheme="minorHAnsi" w:eastAsia="Times New Roman" w:hAnsiTheme="minorHAnsi" w:cstheme="minorHAnsi"/>
                <w:color w:val="auto"/>
                <w:sz w:val="20"/>
                <w:szCs w:val="24"/>
                <w:lang w:eastAsia="en-US"/>
              </w:rPr>
              <w:t>watertable</w:t>
            </w:r>
            <w:proofErr w:type="spellEnd"/>
            <w:r w:rsidRPr="00AE4E87">
              <w:rPr>
                <w:rFonts w:asciiTheme="minorHAnsi" w:eastAsia="Times New Roman" w:hAnsiTheme="minorHAnsi" w:cstheme="minorHAnsi"/>
                <w:color w:val="auto"/>
                <w:sz w:val="20"/>
                <w:szCs w:val="24"/>
                <w:lang w:eastAsia="en-US"/>
              </w:rPr>
              <w:t xml:space="preserve">, or within 10 m of </w:t>
            </w:r>
            <w:proofErr w:type="spellStart"/>
            <w:r>
              <w:rPr>
                <w:rFonts w:asciiTheme="minorHAnsi" w:eastAsia="Times New Roman" w:hAnsiTheme="minorHAnsi" w:cstheme="minorHAnsi"/>
                <w:color w:val="auto"/>
                <w:sz w:val="20"/>
                <w:szCs w:val="24"/>
                <w:lang w:eastAsia="en-US"/>
              </w:rPr>
              <w:t>watertable</w:t>
            </w:r>
            <w:proofErr w:type="spellEnd"/>
            <w:r w:rsidRPr="00AE4E87">
              <w:rPr>
                <w:rFonts w:asciiTheme="minorHAnsi" w:eastAsia="Times New Roman" w:hAnsiTheme="minorHAnsi" w:cstheme="minorHAnsi"/>
                <w:color w:val="auto"/>
                <w:sz w:val="20"/>
                <w:szCs w:val="24"/>
                <w:lang w:eastAsia="en-US"/>
              </w:rPr>
              <w:t>.</w:t>
            </w:r>
          </w:p>
        </w:tc>
        <w:tc>
          <w:tcPr>
            <w:tcW w:w="3827" w:type="dxa"/>
            <w:noWrap/>
          </w:tcPr>
          <w:p w14:paraId="31C8C19C" w14:textId="77777777" w:rsidR="002D2DA3" w:rsidRPr="00AE4E87" w:rsidRDefault="002D2DA3" w:rsidP="00544C45">
            <w:pPr>
              <w:spacing w:after="200" w:line="280" w:lineRule="exac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Casing is open at bottom of bore.</w:t>
            </w:r>
          </w:p>
        </w:tc>
      </w:tr>
      <w:tr w:rsidR="002D2DA3" w:rsidRPr="00AE4E87" w14:paraId="31C8C1A1" w14:textId="77777777" w:rsidTr="00544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noWrap/>
          </w:tcPr>
          <w:p w14:paraId="31C8C19E" w14:textId="77777777" w:rsidR="002D2DA3" w:rsidRPr="00AE4E87" w:rsidRDefault="002D2DA3" w:rsidP="00544C45">
            <w:pPr>
              <w:spacing w:after="200" w:line="280" w:lineRule="exact"/>
              <w:jc w:val="both"/>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Purpose of bore</w:t>
            </w:r>
          </w:p>
        </w:tc>
        <w:tc>
          <w:tcPr>
            <w:tcW w:w="3827" w:type="dxa"/>
            <w:noWrap/>
          </w:tcPr>
          <w:p w14:paraId="31C8C19F" w14:textId="77777777" w:rsidR="002D2DA3" w:rsidRPr="00AE4E87" w:rsidRDefault="002D2DA3" w:rsidP="00544C45">
            <w:pPr>
              <w:spacing w:after="200" w:line="280" w:lineRule="exac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 xml:space="preserve">Groundwater monitoring </w:t>
            </w:r>
          </w:p>
        </w:tc>
        <w:tc>
          <w:tcPr>
            <w:tcW w:w="3827" w:type="dxa"/>
            <w:noWrap/>
          </w:tcPr>
          <w:p w14:paraId="31C8C1A0" w14:textId="77777777" w:rsidR="002D2DA3" w:rsidRPr="00AE4E87" w:rsidRDefault="002D2DA3" w:rsidP="00544C45">
            <w:pPr>
              <w:spacing w:after="200" w:line="280" w:lineRule="exac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Any other vertical bore accessing the desired aquifer</w:t>
            </w:r>
          </w:p>
        </w:tc>
      </w:tr>
      <w:tr w:rsidR="002D2DA3" w:rsidRPr="00AE4E87" w14:paraId="31C8C1A5" w14:textId="77777777" w:rsidTr="00544C45">
        <w:trPr>
          <w:jc w:val="center"/>
        </w:trPr>
        <w:tc>
          <w:tcPr>
            <w:cnfStyle w:val="001000000000" w:firstRow="0" w:lastRow="0" w:firstColumn="1" w:lastColumn="0" w:oddVBand="0" w:evenVBand="0" w:oddHBand="0" w:evenHBand="0" w:firstRowFirstColumn="0" w:firstRowLastColumn="0" w:lastRowFirstColumn="0" w:lastRowLastColumn="0"/>
            <w:tcW w:w="2127" w:type="dxa"/>
            <w:noWrap/>
          </w:tcPr>
          <w:p w14:paraId="31C8C1A2" w14:textId="77777777" w:rsidR="002D2DA3" w:rsidRPr="00AE4E87" w:rsidRDefault="002D2DA3" w:rsidP="00544C45">
            <w:pPr>
              <w:spacing w:after="200" w:line="280" w:lineRule="exact"/>
              <w:jc w:val="both"/>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Other requirements</w:t>
            </w:r>
          </w:p>
        </w:tc>
        <w:tc>
          <w:tcPr>
            <w:tcW w:w="3827" w:type="dxa"/>
            <w:noWrap/>
          </w:tcPr>
          <w:p w14:paraId="31C8C1A3" w14:textId="77777777" w:rsidR="002D2DA3" w:rsidRPr="00AE4E87" w:rsidRDefault="002D2DA3" w:rsidP="00544C45">
            <w:pPr>
              <w:spacing w:after="200" w:line="280" w:lineRule="exac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 xml:space="preserve">Contains no pumps, vibrating wires, loggers, or other permanent infrastructure </w:t>
            </w:r>
          </w:p>
        </w:tc>
        <w:tc>
          <w:tcPr>
            <w:tcW w:w="3827" w:type="dxa"/>
            <w:noWrap/>
          </w:tcPr>
          <w:p w14:paraId="31C8C1A4" w14:textId="77777777" w:rsidR="002D2DA3" w:rsidRPr="00AE4E87" w:rsidRDefault="002D2DA3" w:rsidP="00544C45">
            <w:pPr>
              <w:spacing w:after="200" w:line="280" w:lineRule="exac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4"/>
                <w:lang w:eastAsia="en-US"/>
              </w:rPr>
            </w:pPr>
          </w:p>
        </w:tc>
      </w:tr>
      <w:tr w:rsidR="002D2DA3" w:rsidRPr="00AE4E87" w14:paraId="31C8C1A9" w14:textId="77777777" w:rsidTr="00544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noWrap/>
          </w:tcPr>
          <w:p w14:paraId="31C8C1A6" w14:textId="77777777" w:rsidR="002D2DA3" w:rsidRPr="00AE4E87" w:rsidRDefault="002D2DA3" w:rsidP="00544C45">
            <w:pPr>
              <w:spacing w:after="200" w:line="280" w:lineRule="exact"/>
              <w:jc w:val="both"/>
              <w:rPr>
                <w:rFonts w:asciiTheme="minorHAnsi" w:eastAsia="Times New Roman" w:hAnsiTheme="minorHAnsi" w:cstheme="minorHAnsi"/>
                <w:color w:val="auto"/>
                <w:sz w:val="20"/>
                <w:szCs w:val="24"/>
                <w:lang w:eastAsia="en-US"/>
              </w:rPr>
            </w:pPr>
          </w:p>
        </w:tc>
        <w:tc>
          <w:tcPr>
            <w:tcW w:w="3827" w:type="dxa"/>
            <w:noWrap/>
          </w:tcPr>
          <w:p w14:paraId="31C8C1A7" w14:textId="77777777" w:rsidR="002D2DA3" w:rsidRPr="00AE4E87" w:rsidRDefault="002D2DA3" w:rsidP="00544C45">
            <w:pPr>
              <w:spacing w:after="200" w:line="280" w:lineRule="exac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 xml:space="preserve">Bore has not been purged in the three months prior to sampling </w:t>
            </w:r>
          </w:p>
        </w:tc>
        <w:tc>
          <w:tcPr>
            <w:tcW w:w="3827" w:type="dxa"/>
            <w:noWrap/>
          </w:tcPr>
          <w:p w14:paraId="31C8C1A8" w14:textId="77777777" w:rsidR="002D2DA3" w:rsidRPr="00AE4E87" w:rsidRDefault="002D2DA3" w:rsidP="000329C4">
            <w:pPr>
              <w:spacing w:after="200" w:line="280" w:lineRule="exac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0"/>
                <w:szCs w:val="24"/>
                <w:lang w:eastAsia="en-US"/>
              </w:rPr>
            </w:pPr>
            <w:r w:rsidRPr="00AE4E87">
              <w:rPr>
                <w:rFonts w:asciiTheme="minorHAnsi" w:eastAsia="Times New Roman" w:hAnsiTheme="minorHAnsi" w:cstheme="minorHAnsi"/>
                <w:color w:val="auto"/>
                <w:sz w:val="20"/>
                <w:szCs w:val="24"/>
                <w:lang w:eastAsia="en-US"/>
              </w:rPr>
              <w:t xml:space="preserve">Bore has not been purged for at least </w:t>
            </w:r>
            <w:r w:rsidR="000329C4">
              <w:rPr>
                <w:rFonts w:asciiTheme="minorHAnsi" w:eastAsia="Times New Roman" w:hAnsiTheme="minorHAnsi" w:cstheme="minorHAnsi"/>
                <w:color w:val="auto"/>
                <w:sz w:val="20"/>
                <w:szCs w:val="24"/>
                <w:lang w:eastAsia="en-US"/>
              </w:rPr>
              <w:t>one</w:t>
            </w:r>
            <w:r w:rsidR="000329C4" w:rsidRPr="00AE4E87">
              <w:rPr>
                <w:rFonts w:asciiTheme="minorHAnsi" w:eastAsia="Times New Roman" w:hAnsiTheme="minorHAnsi" w:cstheme="minorHAnsi"/>
                <w:color w:val="auto"/>
                <w:sz w:val="20"/>
                <w:szCs w:val="24"/>
                <w:lang w:eastAsia="en-US"/>
              </w:rPr>
              <w:t xml:space="preserve"> </w:t>
            </w:r>
            <w:r w:rsidRPr="00AE4E87">
              <w:rPr>
                <w:rFonts w:asciiTheme="minorHAnsi" w:eastAsia="Times New Roman" w:hAnsiTheme="minorHAnsi" w:cstheme="minorHAnsi"/>
                <w:color w:val="auto"/>
                <w:sz w:val="20"/>
                <w:szCs w:val="24"/>
                <w:lang w:eastAsia="en-US"/>
              </w:rPr>
              <w:t>month prior to sampling</w:t>
            </w:r>
          </w:p>
        </w:tc>
      </w:tr>
    </w:tbl>
    <w:p w14:paraId="31C8C1AA" w14:textId="77777777" w:rsidR="002D2DA3" w:rsidRDefault="002D2DA3" w:rsidP="002D2DA3">
      <w:pPr>
        <w:spacing w:after="0"/>
        <w:rPr>
          <w:sz w:val="24"/>
        </w:rPr>
      </w:pPr>
    </w:p>
    <w:p w14:paraId="31C8C1AB" w14:textId="77777777" w:rsidR="002D2DA3" w:rsidRPr="001B336D" w:rsidRDefault="002D2DA3" w:rsidP="002D2DA3">
      <w:pPr>
        <w:pStyle w:val="BodyText"/>
        <w:rPr>
          <w:i/>
        </w:rPr>
      </w:pPr>
      <w:r w:rsidRPr="001B336D">
        <w:rPr>
          <w:i/>
        </w:rPr>
        <w:t>Stygofauna tolerances</w:t>
      </w:r>
    </w:p>
    <w:p w14:paraId="31C8C1AC" w14:textId="77777777" w:rsidR="002D2DA3" w:rsidRPr="001B336D" w:rsidRDefault="002D2DA3" w:rsidP="002D2DA3">
      <w:pPr>
        <w:pStyle w:val="BodyText"/>
      </w:pPr>
      <w:r w:rsidRPr="001B336D">
        <w:t>As a collective group, stygofauna are tolerant of</w:t>
      </w:r>
      <w:r w:rsidRPr="001B336D">
        <w:rPr>
          <w:color w:val="FF0000"/>
        </w:rPr>
        <w:t xml:space="preserve"> </w:t>
      </w:r>
      <w:r w:rsidRPr="001B336D">
        <w:rPr>
          <w:color w:val="auto"/>
        </w:rPr>
        <w:t>a</w:t>
      </w:r>
      <w:r w:rsidRPr="001B336D">
        <w:rPr>
          <w:color w:val="FF0000"/>
        </w:rPr>
        <w:t xml:space="preserve"> </w:t>
      </w:r>
      <w:r w:rsidRPr="001B336D">
        <w:t>broad range</w:t>
      </w:r>
      <w:r w:rsidR="000329C4">
        <w:t xml:space="preserve"> of</w:t>
      </w:r>
      <w:r w:rsidRPr="001B336D">
        <w:t xml:space="preserve"> </w:t>
      </w:r>
      <w:proofErr w:type="spellStart"/>
      <w:r w:rsidRPr="001B336D">
        <w:t>physico</w:t>
      </w:r>
      <w:proofErr w:type="spellEnd"/>
      <w:r w:rsidRPr="001B336D">
        <w:t>-chemical conditions, and occur in a variety of aquifer types. However, as with all fauna, they require favourable conditions to survive and not all aquifers are suitable. To enhance the likelihood of collecting stygofauna from an aquifer, sampling effort should be greatest in areas where conditions are most favourable. These can be selected from available hydrogeological and water ch</w:t>
      </w:r>
      <w:r w:rsidR="00972D65">
        <w:t xml:space="preserve">emistry data, and are listed in </w:t>
      </w:r>
      <w:r w:rsidR="00972D65">
        <w:fldChar w:fldCharType="begin"/>
      </w:r>
      <w:r w:rsidR="00972D65">
        <w:instrText xml:space="preserve"> REF _Ref509778286 \h </w:instrText>
      </w:r>
      <w:r w:rsidR="00972D65">
        <w:fldChar w:fldCharType="separate"/>
      </w:r>
      <w:r w:rsidR="00E96B43">
        <w:t xml:space="preserve">App Table </w:t>
      </w:r>
      <w:r w:rsidR="00E96B43">
        <w:rPr>
          <w:noProof/>
        </w:rPr>
        <w:t>8</w:t>
      </w:r>
      <w:r w:rsidR="00972D65">
        <w:fldChar w:fldCharType="end"/>
      </w:r>
      <w:r w:rsidR="00972D65">
        <w:t>.</w:t>
      </w:r>
    </w:p>
    <w:p w14:paraId="31C8C1AD" w14:textId="77777777" w:rsidR="002D2DA3" w:rsidRPr="003E1A05" w:rsidRDefault="00BB1DD0" w:rsidP="002D2DA3">
      <w:pPr>
        <w:pStyle w:val="Caption"/>
        <w:rPr>
          <w:b/>
          <w:color w:val="000000" w:themeColor="text1"/>
        </w:rPr>
      </w:pPr>
      <w:bookmarkStart w:id="115" w:name="_Ref509930363"/>
      <w:bookmarkStart w:id="116" w:name="_Toc509991061"/>
      <w:r>
        <w:t>App</w:t>
      </w:r>
      <w:r w:rsidR="002D2DA3">
        <w:t xml:space="preserve"> Table </w:t>
      </w:r>
      <w:r w:rsidR="00085933">
        <w:fldChar w:fldCharType="begin"/>
      </w:r>
      <w:r w:rsidR="00085933">
        <w:instrText xml:space="preserve"> SEQ Apx_Table \* ARABIC </w:instrText>
      </w:r>
      <w:r w:rsidR="00085933">
        <w:fldChar w:fldCharType="separate"/>
      </w:r>
      <w:r w:rsidR="00E96B43">
        <w:rPr>
          <w:noProof/>
        </w:rPr>
        <w:t>9</w:t>
      </w:r>
      <w:r w:rsidR="00085933">
        <w:rPr>
          <w:noProof/>
        </w:rPr>
        <w:fldChar w:fldCharType="end"/>
      </w:r>
      <w:bookmarkEnd w:id="115"/>
      <w:r w:rsidR="002D2DA3" w:rsidRPr="003E1A05">
        <w:rPr>
          <w:color w:val="000000" w:themeColor="text1"/>
        </w:rPr>
        <w:t>. Water chemistry and aquifer conditions favourable to stygofauna</w:t>
      </w:r>
      <w:bookmarkEnd w:id="116"/>
    </w:p>
    <w:tbl>
      <w:tblPr>
        <w:tblStyle w:val="TableCSIRO"/>
        <w:tblW w:w="0" w:type="auto"/>
        <w:jc w:val="center"/>
        <w:tblInd w:w="0" w:type="dxa"/>
        <w:tblLook w:val="04A0" w:firstRow="1" w:lastRow="0" w:firstColumn="1" w:lastColumn="0" w:noHBand="0" w:noVBand="1"/>
      </w:tblPr>
      <w:tblGrid>
        <w:gridCol w:w="1631"/>
        <w:gridCol w:w="2969"/>
        <w:gridCol w:w="2706"/>
        <w:gridCol w:w="1894"/>
      </w:tblGrid>
      <w:tr w:rsidR="002D2DA3" w:rsidRPr="00AE4E87" w14:paraId="31C8C1B2" w14:textId="77777777" w:rsidTr="00544C4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31" w:type="dxa"/>
          </w:tcPr>
          <w:p w14:paraId="31C8C1AE" w14:textId="77777777" w:rsidR="002D2DA3" w:rsidRPr="00AE4E87" w:rsidRDefault="002D2DA3" w:rsidP="00544C45">
            <w:pPr>
              <w:rPr>
                <w:color w:val="FFFFFF" w:themeColor="background2"/>
                <w:sz w:val="20"/>
                <w:szCs w:val="20"/>
              </w:rPr>
            </w:pPr>
            <w:r w:rsidRPr="00AE4E87">
              <w:rPr>
                <w:color w:val="FFFFFF" w:themeColor="background2"/>
                <w:sz w:val="20"/>
                <w:szCs w:val="20"/>
              </w:rPr>
              <w:t>Parameter</w:t>
            </w:r>
          </w:p>
        </w:tc>
        <w:tc>
          <w:tcPr>
            <w:tcW w:w="2969" w:type="dxa"/>
          </w:tcPr>
          <w:p w14:paraId="31C8C1AF" w14:textId="77777777" w:rsidR="002D2DA3" w:rsidRPr="00AE4E87" w:rsidRDefault="002D2DA3" w:rsidP="00544C45">
            <w:pPr>
              <w:cnfStyle w:val="100000000000" w:firstRow="1" w:lastRow="0" w:firstColumn="0" w:lastColumn="0" w:oddVBand="0" w:evenVBand="0" w:oddHBand="0" w:evenHBand="0" w:firstRowFirstColumn="0" w:firstRowLastColumn="0" w:lastRowFirstColumn="0" w:lastRowLastColumn="0"/>
              <w:rPr>
                <w:color w:val="FFFFFF" w:themeColor="background2"/>
                <w:sz w:val="20"/>
                <w:szCs w:val="20"/>
              </w:rPr>
            </w:pPr>
            <w:r w:rsidRPr="00AE4E87">
              <w:rPr>
                <w:color w:val="FFFFFF" w:themeColor="background2"/>
                <w:sz w:val="20"/>
                <w:szCs w:val="20"/>
              </w:rPr>
              <w:t>Preferred type or range</w:t>
            </w:r>
          </w:p>
        </w:tc>
        <w:tc>
          <w:tcPr>
            <w:tcW w:w="2706" w:type="dxa"/>
          </w:tcPr>
          <w:p w14:paraId="31C8C1B0" w14:textId="77777777" w:rsidR="002D2DA3" w:rsidRPr="00AE4E87" w:rsidRDefault="002D2DA3" w:rsidP="00544C45">
            <w:pPr>
              <w:cnfStyle w:val="100000000000" w:firstRow="1" w:lastRow="0" w:firstColumn="0" w:lastColumn="0" w:oddVBand="0" w:evenVBand="0" w:oddHBand="0" w:evenHBand="0" w:firstRowFirstColumn="0" w:firstRowLastColumn="0" w:lastRowFirstColumn="0" w:lastRowLastColumn="0"/>
              <w:rPr>
                <w:color w:val="FFFFFF" w:themeColor="background2"/>
                <w:sz w:val="20"/>
                <w:szCs w:val="20"/>
              </w:rPr>
            </w:pPr>
            <w:r w:rsidRPr="00AE4E87">
              <w:rPr>
                <w:color w:val="FFFFFF" w:themeColor="background2"/>
                <w:sz w:val="20"/>
                <w:szCs w:val="20"/>
              </w:rPr>
              <w:t>Notes</w:t>
            </w:r>
          </w:p>
        </w:tc>
        <w:tc>
          <w:tcPr>
            <w:tcW w:w="1894" w:type="dxa"/>
          </w:tcPr>
          <w:p w14:paraId="31C8C1B1" w14:textId="77777777" w:rsidR="002D2DA3" w:rsidRPr="00AE4E87" w:rsidRDefault="002D2DA3" w:rsidP="00544C45">
            <w:pPr>
              <w:cnfStyle w:val="100000000000" w:firstRow="1" w:lastRow="0" w:firstColumn="0" w:lastColumn="0" w:oddVBand="0" w:evenVBand="0" w:oddHBand="0" w:evenHBand="0" w:firstRowFirstColumn="0" w:firstRowLastColumn="0" w:lastRowFirstColumn="0" w:lastRowLastColumn="0"/>
              <w:rPr>
                <w:color w:val="FFFFFF" w:themeColor="background2"/>
                <w:sz w:val="20"/>
                <w:szCs w:val="20"/>
              </w:rPr>
            </w:pPr>
            <w:r w:rsidRPr="00AE4E87">
              <w:rPr>
                <w:color w:val="FFFFFF" w:themeColor="background2"/>
                <w:sz w:val="20"/>
                <w:szCs w:val="20"/>
              </w:rPr>
              <w:t>References</w:t>
            </w:r>
          </w:p>
        </w:tc>
      </w:tr>
      <w:tr w:rsidR="002D2DA3" w:rsidRPr="00AE4E87" w14:paraId="31C8C1B7" w14:textId="77777777" w:rsidTr="00544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tcPr>
          <w:p w14:paraId="31C8C1B3" w14:textId="77777777" w:rsidR="002D2DA3" w:rsidRPr="00AE4E87" w:rsidRDefault="002D2DA3" w:rsidP="00544C45">
            <w:pPr>
              <w:rPr>
                <w:sz w:val="20"/>
                <w:szCs w:val="20"/>
              </w:rPr>
            </w:pPr>
            <w:r w:rsidRPr="00AE4E87">
              <w:rPr>
                <w:sz w:val="20"/>
                <w:szCs w:val="20"/>
              </w:rPr>
              <w:t>Aquifer type</w:t>
            </w:r>
          </w:p>
        </w:tc>
        <w:tc>
          <w:tcPr>
            <w:tcW w:w="2969" w:type="dxa"/>
          </w:tcPr>
          <w:p w14:paraId="31C8C1B4" w14:textId="77777777" w:rsidR="002D2DA3" w:rsidRPr="00AE4E87" w:rsidRDefault="002D2DA3" w:rsidP="00650FFE">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Most common in karstic and alluvial aquifers. Also known from fractured rock (sandstone, coal, basalt)</w:t>
            </w:r>
          </w:p>
        </w:tc>
        <w:tc>
          <w:tcPr>
            <w:tcW w:w="2706" w:type="dxa"/>
          </w:tcPr>
          <w:p w14:paraId="31C8C1B5" w14:textId="77777777" w:rsidR="002D2DA3" w:rsidRPr="00AE4E87" w:rsidRDefault="002D2DA3" w:rsidP="00544C45">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Fractured rock aquifers are often secondary habitat and will have stygofauna when there is sufficient hydrological connection to either limestone or alluvial aquifers.</w:t>
            </w:r>
          </w:p>
        </w:tc>
        <w:tc>
          <w:tcPr>
            <w:tcW w:w="1894" w:type="dxa"/>
          </w:tcPr>
          <w:p w14:paraId="31C8C1B6" w14:textId="77777777" w:rsidR="002D2DA3" w:rsidRPr="00AE4E87" w:rsidRDefault="002D2DA3" w:rsidP="00544C45">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Hancock et al</w:t>
            </w:r>
            <w:r>
              <w:rPr>
                <w:sz w:val="20"/>
                <w:szCs w:val="20"/>
              </w:rPr>
              <w:t>.,</w:t>
            </w:r>
            <w:r w:rsidRPr="00AE4E87">
              <w:rPr>
                <w:sz w:val="20"/>
                <w:szCs w:val="20"/>
              </w:rPr>
              <w:t xml:space="preserve"> 2005, Humphreys</w:t>
            </w:r>
            <w:r w:rsidR="000329C4">
              <w:rPr>
                <w:sz w:val="20"/>
                <w:szCs w:val="20"/>
              </w:rPr>
              <w:t>,</w:t>
            </w:r>
            <w:r w:rsidRPr="00AE4E87">
              <w:rPr>
                <w:sz w:val="20"/>
                <w:szCs w:val="20"/>
              </w:rPr>
              <w:t xml:space="preserve"> 2008, Glanville et al.</w:t>
            </w:r>
            <w:r>
              <w:rPr>
                <w:sz w:val="20"/>
                <w:szCs w:val="20"/>
              </w:rPr>
              <w:t>,</w:t>
            </w:r>
            <w:r w:rsidRPr="00AE4E87">
              <w:rPr>
                <w:sz w:val="20"/>
                <w:szCs w:val="20"/>
              </w:rPr>
              <w:t xml:space="preserve"> 2016, Hyde et al.</w:t>
            </w:r>
            <w:r>
              <w:rPr>
                <w:sz w:val="20"/>
                <w:szCs w:val="20"/>
              </w:rPr>
              <w:t>,</w:t>
            </w:r>
            <w:r w:rsidRPr="00AE4E87">
              <w:rPr>
                <w:sz w:val="20"/>
                <w:szCs w:val="20"/>
              </w:rPr>
              <w:t xml:space="preserve"> 2018</w:t>
            </w:r>
          </w:p>
        </w:tc>
      </w:tr>
      <w:tr w:rsidR="002D2DA3" w:rsidRPr="00AE4E87" w14:paraId="31C8C1BC" w14:textId="77777777" w:rsidTr="00544C45">
        <w:trPr>
          <w:jc w:val="center"/>
        </w:trPr>
        <w:tc>
          <w:tcPr>
            <w:cnfStyle w:val="001000000000" w:firstRow="0" w:lastRow="0" w:firstColumn="1" w:lastColumn="0" w:oddVBand="0" w:evenVBand="0" w:oddHBand="0" w:evenHBand="0" w:firstRowFirstColumn="0" w:firstRowLastColumn="0" w:lastRowFirstColumn="0" w:lastRowLastColumn="0"/>
            <w:tcW w:w="1631" w:type="dxa"/>
          </w:tcPr>
          <w:p w14:paraId="31C8C1B8" w14:textId="77777777" w:rsidR="002D2DA3" w:rsidRPr="00AE4E87" w:rsidRDefault="002D2DA3" w:rsidP="00544C45">
            <w:pPr>
              <w:rPr>
                <w:sz w:val="20"/>
                <w:szCs w:val="20"/>
              </w:rPr>
            </w:pPr>
            <w:proofErr w:type="spellStart"/>
            <w:r>
              <w:rPr>
                <w:sz w:val="20"/>
                <w:szCs w:val="20"/>
              </w:rPr>
              <w:t>Watertable</w:t>
            </w:r>
            <w:proofErr w:type="spellEnd"/>
            <w:r w:rsidRPr="00AE4E87">
              <w:rPr>
                <w:sz w:val="20"/>
                <w:szCs w:val="20"/>
              </w:rPr>
              <w:t xml:space="preserve"> depth</w:t>
            </w:r>
          </w:p>
        </w:tc>
        <w:tc>
          <w:tcPr>
            <w:tcW w:w="2969" w:type="dxa"/>
          </w:tcPr>
          <w:p w14:paraId="31C8C1B9" w14:textId="77777777" w:rsidR="002D2DA3" w:rsidRPr="00AE4E87" w:rsidRDefault="002D2DA3" w:rsidP="000329C4">
            <w:pPr>
              <w:cnfStyle w:val="000000000000" w:firstRow="0" w:lastRow="0" w:firstColumn="0" w:lastColumn="0" w:oddVBand="0" w:evenVBand="0" w:oddHBand="0" w:evenHBand="0" w:firstRowFirstColumn="0" w:firstRowLastColumn="0" w:lastRowFirstColumn="0" w:lastRowLastColumn="0"/>
              <w:rPr>
                <w:sz w:val="20"/>
                <w:szCs w:val="20"/>
              </w:rPr>
            </w:pPr>
            <w:r w:rsidRPr="00AE4E87">
              <w:rPr>
                <w:sz w:val="20"/>
                <w:szCs w:val="20"/>
              </w:rPr>
              <w:t xml:space="preserve">Greater diversity and higher abundances are likely when </w:t>
            </w:r>
            <w:proofErr w:type="spellStart"/>
            <w:r>
              <w:rPr>
                <w:sz w:val="20"/>
                <w:szCs w:val="20"/>
              </w:rPr>
              <w:t>watertable</w:t>
            </w:r>
            <w:proofErr w:type="spellEnd"/>
            <w:r w:rsidRPr="00AE4E87">
              <w:rPr>
                <w:sz w:val="20"/>
                <w:szCs w:val="20"/>
              </w:rPr>
              <w:t xml:space="preserve"> is shallower than 20-30 m. Stygofauna are also more likely in aquifer recharge areas </w:t>
            </w:r>
          </w:p>
        </w:tc>
        <w:tc>
          <w:tcPr>
            <w:tcW w:w="2706" w:type="dxa"/>
          </w:tcPr>
          <w:p w14:paraId="31C8C1BA" w14:textId="77777777" w:rsidR="002D2DA3" w:rsidRPr="00AE4E87" w:rsidRDefault="002D2DA3" w:rsidP="00544C45">
            <w:pPr>
              <w:cnfStyle w:val="000000000000" w:firstRow="0" w:lastRow="0" w:firstColumn="0" w:lastColumn="0" w:oddVBand="0" w:evenVBand="0" w:oddHBand="0" w:evenHBand="0" w:firstRowFirstColumn="0" w:firstRowLastColumn="0" w:lastRowFirstColumn="0" w:lastRowLastColumn="0"/>
              <w:rPr>
                <w:sz w:val="20"/>
                <w:szCs w:val="20"/>
              </w:rPr>
            </w:pPr>
            <w:r w:rsidRPr="00AE4E87">
              <w:rPr>
                <w:sz w:val="20"/>
                <w:szCs w:val="20"/>
              </w:rPr>
              <w:t xml:space="preserve">Areas with shallow </w:t>
            </w:r>
            <w:proofErr w:type="spellStart"/>
            <w:r>
              <w:rPr>
                <w:sz w:val="20"/>
                <w:szCs w:val="20"/>
              </w:rPr>
              <w:t>watertable</w:t>
            </w:r>
            <w:r w:rsidRPr="00AE4E87">
              <w:rPr>
                <w:sz w:val="20"/>
                <w:szCs w:val="20"/>
              </w:rPr>
              <w:t>s</w:t>
            </w:r>
            <w:proofErr w:type="spellEnd"/>
            <w:r w:rsidRPr="00AE4E87">
              <w:rPr>
                <w:sz w:val="20"/>
                <w:szCs w:val="20"/>
              </w:rPr>
              <w:t xml:space="preserve"> (&lt;20 or 30 m) generally have higher concentrations of organic matter and dissolved oxygen, making them more likely to have stygofauna.  </w:t>
            </w:r>
          </w:p>
        </w:tc>
        <w:tc>
          <w:tcPr>
            <w:tcW w:w="1894" w:type="dxa"/>
          </w:tcPr>
          <w:p w14:paraId="31C8C1BB" w14:textId="77777777" w:rsidR="002D2DA3" w:rsidRPr="00AE4E87" w:rsidRDefault="002D2DA3" w:rsidP="00544C45">
            <w:pPr>
              <w:cnfStyle w:val="000000000000" w:firstRow="0" w:lastRow="0" w:firstColumn="0" w:lastColumn="0" w:oddVBand="0" w:evenVBand="0" w:oddHBand="0" w:evenHBand="0" w:firstRowFirstColumn="0" w:firstRowLastColumn="0" w:lastRowFirstColumn="0" w:lastRowLastColumn="0"/>
              <w:rPr>
                <w:sz w:val="20"/>
                <w:szCs w:val="20"/>
              </w:rPr>
            </w:pPr>
            <w:r w:rsidRPr="00AE4E87">
              <w:rPr>
                <w:sz w:val="20"/>
                <w:szCs w:val="20"/>
              </w:rPr>
              <w:t xml:space="preserve">Hancock and </w:t>
            </w:r>
            <w:proofErr w:type="spellStart"/>
            <w:r w:rsidRPr="00AE4E87">
              <w:rPr>
                <w:sz w:val="20"/>
                <w:szCs w:val="20"/>
              </w:rPr>
              <w:t>Boulton</w:t>
            </w:r>
            <w:proofErr w:type="spellEnd"/>
            <w:r w:rsidR="000329C4">
              <w:rPr>
                <w:sz w:val="20"/>
                <w:szCs w:val="20"/>
              </w:rPr>
              <w:t>,</w:t>
            </w:r>
            <w:r w:rsidRPr="00AE4E87">
              <w:rPr>
                <w:sz w:val="20"/>
                <w:szCs w:val="20"/>
              </w:rPr>
              <w:t xml:space="preserve"> 2008, </w:t>
            </w:r>
            <w:proofErr w:type="spellStart"/>
            <w:r w:rsidRPr="00AE4E87">
              <w:rPr>
                <w:sz w:val="20"/>
                <w:szCs w:val="20"/>
              </w:rPr>
              <w:t>Datry</w:t>
            </w:r>
            <w:proofErr w:type="spellEnd"/>
            <w:r w:rsidRPr="00AE4E87">
              <w:rPr>
                <w:sz w:val="20"/>
                <w:szCs w:val="20"/>
              </w:rPr>
              <w:t xml:space="preserve"> et al.</w:t>
            </w:r>
            <w:r>
              <w:rPr>
                <w:sz w:val="20"/>
                <w:szCs w:val="20"/>
              </w:rPr>
              <w:t>,</w:t>
            </w:r>
            <w:r w:rsidRPr="00AE4E87">
              <w:rPr>
                <w:sz w:val="20"/>
                <w:szCs w:val="20"/>
              </w:rPr>
              <w:t xml:space="preserve"> 2004, Hyde et al</w:t>
            </w:r>
            <w:r>
              <w:rPr>
                <w:sz w:val="20"/>
                <w:szCs w:val="20"/>
              </w:rPr>
              <w:t>.,</w:t>
            </w:r>
            <w:r w:rsidRPr="00AE4E87">
              <w:rPr>
                <w:sz w:val="20"/>
                <w:szCs w:val="20"/>
              </w:rPr>
              <w:t xml:space="preserve"> 2018</w:t>
            </w:r>
          </w:p>
        </w:tc>
      </w:tr>
      <w:tr w:rsidR="002D2DA3" w:rsidRPr="00AE4E87" w14:paraId="31C8C1C1" w14:textId="77777777" w:rsidTr="00544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tcPr>
          <w:p w14:paraId="31C8C1BD" w14:textId="77777777" w:rsidR="002D2DA3" w:rsidRPr="00AE4E87" w:rsidRDefault="002D2DA3" w:rsidP="00544C45">
            <w:pPr>
              <w:rPr>
                <w:sz w:val="20"/>
                <w:szCs w:val="20"/>
              </w:rPr>
            </w:pPr>
            <w:r w:rsidRPr="00AE4E87">
              <w:rPr>
                <w:sz w:val="20"/>
                <w:szCs w:val="20"/>
              </w:rPr>
              <w:t>Hydraulic conductivity/ aquifer porosity</w:t>
            </w:r>
          </w:p>
        </w:tc>
        <w:tc>
          <w:tcPr>
            <w:tcW w:w="2969" w:type="dxa"/>
          </w:tcPr>
          <w:p w14:paraId="31C8C1BE" w14:textId="77777777" w:rsidR="002D2DA3" w:rsidRPr="00AE4E87" w:rsidRDefault="002D2DA3" w:rsidP="00544C45">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Aquifers with high porosity and hydraulic conductivity greater than 10</w:t>
            </w:r>
            <w:r w:rsidRPr="00AE4E87">
              <w:rPr>
                <w:sz w:val="20"/>
                <w:szCs w:val="20"/>
                <w:vertAlign w:val="superscript"/>
              </w:rPr>
              <w:t>-4</w:t>
            </w:r>
            <w:r w:rsidRPr="00AE4E87">
              <w:rPr>
                <w:sz w:val="20"/>
                <w:szCs w:val="20"/>
              </w:rPr>
              <w:t xml:space="preserve"> cm/s </w:t>
            </w:r>
          </w:p>
        </w:tc>
        <w:tc>
          <w:tcPr>
            <w:tcW w:w="2706" w:type="dxa"/>
          </w:tcPr>
          <w:p w14:paraId="31C8C1BF" w14:textId="77777777" w:rsidR="002D2DA3" w:rsidRPr="00AE4E87" w:rsidRDefault="002D2DA3" w:rsidP="00544C45">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Pores</w:t>
            </w:r>
            <w:r w:rsidR="000329C4">
              <w:rPr>
                <w:sz w:val="20"/>
                <w:szCs w:val="20"/>
              </w:rPr>
              <w:t>,</w:t>
            </w:r>
            <w:r w:rsidRPr="00AE4E87">
              <w:rPr>
                <w:sz w:val="20"/>
                <w:szCs w:val="20"/>
              </w:rPr>
              <w:t xml:space="preserve"> spaces and fractures must be large enough to allow stygofauna to move through them, and connected well enough to allow water to deliver dissolved oxygen and nutrients.</w:t>
            </w:r>
          </w:p>
        </w:tc>
        <w:tc>
          <w:tcPr>
            <w:tcW w:w="1894" w:type="dxa"/>
          </w:tcPr>
          <w:p w14:paraId="31C8C1C0" w14:textId="77777777" w:rsidR="002D2DA3" w:rsidRPr="00AE4E87" w:rsidRDefault="002D2DA3" w:rsidP="00544C45">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Strayer</w:t>
            </w:r>
            <w:r w:rsidR="000329C4">
              <w:rPr>
                <w:sz w:val="20"/>
                <w:szCs w:val="20"/>
              </w:rPr>
              <w:t>,</w:t>
            </w:r>
            <w:r w:rsidRPr="00AE4E87">
              <w:rPr>
                <w:sz w:val="20"/>
                <w:szCs w:val="20"/>
              </w:rPr>
              <w:t xml:space="preserve"> 1994, Hahn and Fuchs</w:t>
            </w:r>
            <w:r w:rsidR="000329C4">
              <w:rPr>
                <w:sz w:val="20"/>
                <w:szCs w:val="20"/>
              </w:rPr>
              <w:t>,</w:t>
            </w:r>
            <w:r w:rsidRPr="00AE4E87">
              <w:rPr>
                <w:sz w:val="20"/>
                <w:szCs w:val="20"/>
              </w:rPr>
              <w:t xml:space="preserve"> 2009, Hose et al.</w:t>
            </w:r>
            <w:r>
              <w:rPr>
                <w:sz w:val="20"/>
                <w:szCs w:val="20"/>
              </w:rPr>
              <w:t>,</w:t>
            </w:r>
            <w:r w:rsidRPr="00AE4E87">
              <w:rPr>
                <w:sz w:val="20"/>
                <w:szCs w:val="20"/>
              </w:rPr>
              <w:t xml:space="preserve"> 2015 </w:t>
            </w:r>
          </w:p>
        </w:tc>
      </w:tr>
      <w:tr w:rsidR="002D2DA3" w:rsidRPr="00AE4E87" w14:paraId="31C8C1C6" w14:textId="77777777" w:rsidTr="00544C45">
        <w:trPr>
          <w:jc w:val="center"/>
        </w:trPr>
        <w:tc>
          <w:tcPr>
            <w:cnfStyle w:val="001000000000" w:firstRow="0" w:lastRow="0" w:firstColumn="1" w:lastColumn="0" w:oddVBand="0" w:evenVBand="0" w:oddHBand="0" w:evenHBand="0" w:firstRowFirstColumn="0" w:firstRowLastColumn="0" w:lastRowFirstColumn="0" w:lastRowLastColumn="0"/>
            <w:tcW w:w="1631" w:type="dxa"/>
          </w:tcPr>
          <w:p w14:paraId="31C8C1C2" w14:textId="77777777" w:rsidR="002D2DA3" w:rsidRPr="00AE4E87" w:rsidRDefault="002D2DA3" w:rsidP="00544C45">
            <w:pPr>
              <w:rPr>
                <w:sz w:val="20"/>
                <w:szCs w:val="20"/>
              </w:rPr>
            </w:pPr>
            <w:r w:rsidRPr="00AE4E87">
              <w:rPr>
                <w:sz w:val="20"/>
                <w:szCs w:val="20"/>
              </w:rPr>
              <w:t>Food availability</w:t>
            </w:r>
          </w:p>
        </w:tc>
        <w:tc>
          <w:tcPr>
            <w:tcW w:w="2969" w:type="dxa"/>
          </w:tcPr>
          <w:p w14:paraId="31C8C1C3" w14:textId="77777777" w:rsidR="002D2DA3" w:rsidRPr="00AE4E87" w:rsidRDefault="002D2DA3" w:rsidP="00544C45">
            <w:pPr>
              <w:cnfStyle w:val="000000000000" w:firstRow="0" w:lastRow="0" w:firstColumn="0" w:lastColumn="0" w:oddVBand="0" w:evenVBand="0" w:oddHBand="0" w:evenHBand="0" w:firstRowFirstColumn="0" w:firstRowLastColumn="0" w:lastRowFirstColumn="0" w:lastRowLastColumn="0"/>
              <w:rPr>
                <w:sz w:val="20"/>
                <w:szCs w:val="20"/>
              </w:rPr>
            </w:pPr>
            <w:r w:rsidRPr="00AE4E87">
              <w:rPr>
                <w:sz w:val="20"/>
                <w:szCs w:val="20"/>
              </w:rPr>
              <w:t xml:space="preserve">Higher stygofauna diversity likely beneath </w:t>
            </w:r>
            <w:proofErr w:type="spellStart"/>
            <w:r w:rsidRPr="00AE4E87">
              <w:rPr>
                <w:sz w:val="20"/>
                <w:szCs w:val="20"/>
              </w:rPr>
              <w:t>phreatophytic</w:t>
            </w:r>
            <w:proofErr w:type="spellEnd"/>
            <w:r w:rsidRPr="00AE4E87">
              <w:rPr>
                <w:sz w:val="20"/>
                <w:szCs w:val="20"/>
              </w:rPr>
              <w:t xml:space="preserve"> trees and in aquifer recharge areas</w:t>
            </w:r>
          </w:p>
        </w:tc>
        <w:tc>
          <w:tcPr>
            <w:tcW w:w="2706" w:type="dxa"/>
          </w:tcPr>
          <w:p w14:paraId="31C8C1C4" w14:textId="77777777" w:rsidR="002D2DA3" w:rsidRPr="00AE4E87" w:rsidRDefault="002D2DA3" w:rsidP="000329C4">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AE4E87">
              <w:rPr>
                <w:sz w:val="20"/>
                <w:szCs w:val="20"/>
              </w:rPr>
              <w:t>Phreatophytic</w:t>
            </w:r>
            <w:proofErr w:type="spellEnd"/>
            <w:r w:rsidRPr="00AE4E87">
              <w:rPr>
                <w:sz w:val="20"/>
                <w:szCs w:val="20"/>
              </w:rPr>
              <w:t xml:space="preserve"> trees provide a re</w:t>
            </w:r>
            <w:r w:rsidR="000329C4">
              <w:rPr>
                <w:sz w:val="20"/>
                <w:szCs w:val="20"/>
              </w:rPr>
              <w:t>liable</w:t>
            </w:r>
            <w:r w:rsidRPr="00AE4E87">
              <w:rPr>
                <w:sz w:val="20"/>
                <w:szCs w:val="20"/>
              </w:rPr>
              <w:t xml:space="preserve"> source of organic matter for stygofauna, as does water moving into the aquifer</w:t>
            </w:r>
          </w:p>
        </w:tc>
        <w:tc>
          <w:tcPr>
            <w:tcW w:w="1894" w:type="dxa"/>
          </w:tcPr>
          <w:p w14:paraId="31C8C1C5" w14:textId="77777777" w:rsidR="002D2DA3" w:rsidRPr="00AE4E87" w:rsidRDefault="002D2DA3" w:rsidP="00544C4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AE4E87">
              <w:rPr>
                <w:sz w:val="20"/>
                <w:szCs w:val="20"/>
              </w:rPr>
              <w:t>Jasinska</w:t>
            </w:r>
            <w:proofErr w:type="spellEnd"/>
            <w:r w:rsidRPr="00AE4E87">
              <w:rPr>
                <w:sz w:val="20"/>
                <w:szCs w:val="20"/>
              </w:rPr>
              <w:t xml:space="preserve"> et al.</w:t>
            </w:r>
            <w:r>
              <w:rPr>
                <w:sz w:val="20"/>
                <w:szCs w:val="20"/>
              </w:rPr>
              <w:t>,</w:t>
            </w:r>
            <w:r w:rsidRPr="00AE4E87">
              <w:rPr>
                <w:sz w:val="20"/>
                <w:szCs w:val="20"/>
              </w:rPr>
              <w:t xml:space="preserve"> 1996, </w:t>
            </w:r>
            <w:proofErr w:type="spellStart"/>
            <w:r w:rsidRPr="00AE4E87">
              <w:rPr>
                <w:sz w:val="20"/>
                <w:szCs w:val="20"/>
              </w:rPr>
              <w:t>Datry</w:t>
            </w:r>
            <w:proofErr w:type="spellEnd"/>
            <w:r w:rsidRPr="00AE4E87">
              <w:rPr>
                <w:sz w:val="20"/>
                <w:szCs w:val="20"/>
              </w:rPr>
              <w:t xml:space="preserve"> et al.</w:t>
            </w:r>
            <w:r>
              <w:rPr>
                <w:sz w:val="20"/>
                <w:szCs w:val="20"/>
              </w:rPr>
              <w:t>,</w:t>
            </w:r>
            <w:r w:rsidRPr="00AE4E87">
              <w:rPr>
                <w:sz w:val="20"/>
                <w:szCs w:val="20"/>
              </w:rPr>
              <w:t xml:space="preserve"> 2004, Hyde et al</w:t>
            </w:r>
            <w:r>
              <w:rPr>
                <w:sz w:val="20"/>
                <w:szCs w:val="20"/>
              </w:rPr>
              <w:t>.,</w:t>
            </w:r>
            <w:r w:rsidRPr="00AE4E87">
              <w:rPr>
                <w:sz w:val="20"/>
                <w:szCs w:val="20"/>
              </w:rPr>
              <w:t xml:space="preserve"> 2018.</w:t>
            </w:r>
          </w:p>
        </w:tc>
      </w:tr>
      <w:tr w:rsidR="002D2DA3" w:rsidRPr="00AE4E87" w14:paraId="31C8C1CC" w14:textId="77777777" w:rsidTr="00544C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tcPr>
          <w:p w14:paraId="31C8C1C7" w14:textId="77777777" w:rsidR="002D2DA3" w:rsidRPr="00AE4E87" w:rsidRDefault="002D2DA3" w:rsidP="00544C45">
            <w:pPr>
              <w:rPr>
                <w:sz w:val="20"/>
                <w:szCs w:val="20"/>
              </w:rPr>
            </w:pPr>
            <w:r w:rsidRPr="00AE4E87">
              <w:rPr>
                <w:sz w:val="20"/>
                <w:szCs w:val="20"/>
              </w:rPr>
              <w:t>Salinity</w:t>
            </w:r>
          </w:p>
        </w:tc>
        <w:tc>
          <w:tcPr>
            <w:tcW w:w="2969" w:type="dxa"/>
          </w:tcPr>
          <w:p w14:paraId="31C8C1C8" w14:textId="77777777" w:rsidR="002D2DA3" w:rsidRPr="00AE4E87" w:rsidRDefault="002D2DA3" w:rsidP="000329C4">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 xml:space="preserve">Stygofauna are most likely in water with electrical conductivity (EC) less than 5000 </w:t>
            </w:r>
            <w:r w:rsidRPr="00AE4E87">
              <w:rPr>
                <w:rFonts w:ascii="Symbol" w:hAnsi="Symbol"/>
                <w:sz w:val="20"/>
                <w:szCs w:val="20"/>
              </w:rPr>
              <w:t></w:t>
            </w:r>
            <w:r w:rsidRPr="00AE4E87">
              <w:rPr>
                <w:sz w:val="20"/>
                <w:szCs w:val="20"/>
              </w:rPr>
              <w:t>S/cm.</w:t>
            </w:r>
          </w:p>
        </w:tc>
        <w:tc>
          <w:tcPr>
            <w:tcW w:w="2706" w:type="dxa"/>
          </w:tcPr>
          <w:p w14:paraId="31C8C1C9" w14:textId="77777777" w:rsidR="002D2DA3" w:rsidRPr="00AE4E87" w:rsidRDefault="002D2DA3" w:rsidP="00544C45">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 xml:space="preserve">Specimens have been collected from waters with EC up to 56 000 </w:t>
            </w:r>
            <w:r w:rsidRPr="00AE4E87">
              <w:rPr>
                <w:rFonts w:ascii="Symbol" w:hAnsi="Symbol"/>
                <w:sz w:val="20"/>
                <w:szCs w:val="20"/>
              </w:rPr>
              <w:t></w:t>
            </w:r>
            <w:r w:rsidRPr="00AE4E87">
              <w:rPr>
                <w:sz w:val="20"/>
                <w:szCs w:val="20"/>
              </w:rPr>
              <w:t>S/cm, but diversity and abundance is higher at low EC.</w:t>
            </w:r>
          </w:p>
        </w:tc>
        <w:tc>
          <w:tcPr>
            <w:tcW w:w="1894" w:type="dxa"/>
          </w:tcPr>
          <w:p w14:paraId="31C8C1CA" w14:textId="77777777" w:rsidR="002D2DA3" w:rsidRPr="00AE4E87" w:rsidRDefault="002D2DA3" w:rsidP="00544C45">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 xml:space="preserve">Hancock and </w:t>
            </w:r>
            <w:proofErr w:type="spellStart"/>
            <w:r w:rsidRPr="00AE4E87">
              <w:rPr>
                <w:sz w:val="20"/>
                <w:szCs w:val="20"/>
              </w:rPr>
              <w:t>Boulton</w:t>
            </w:r>
            <w:proofErr w:type="spellEnd"/>
            <w:r w:rsidR="000329C4">
              <w:rPr>
                <w:sz w:val="20"/>
                <w:szCs w:val="20"/>
              </w:rPr>
              <w:t>,</w:t>
            </w:r>
            <w:r w:rsidRPr="00AE4E87">
              <w:rPr>
                <w:sz w:val="20"/>
                <w:szCs w:val="20"/>
              </w:rPr>
              <w:t xml:space="preserve"> 2008, Watts and Humphreys</w:t>
            </w:r>
            <w:r w:rsidR="000329C4">
              <w:rPr>
                <w:sz w:val="20"/>
                <w:szCs w:val="20"/>
              </w:rPr>
              <w:t>,</w:t>
            </w:r>
            <w:r w:rsidRPr="00AE4E87">
              <w:rPr>
                <w:sz w:val="20"/>
                <w:szCs w:val="20"/>
              </w:rPr>
              <w:t xml:space="preserve"> 2009,</w:t>
            </w:r>
          </w:p>
          <w:p w14:paraId="31C8C1CB" w14:textId="77777777" w:rsidR="002D2DA3" w:rsidRPr="00AE4E87" w:rsidRDefault="002D2DA3" w:rsidP="00544C45">
            <w:pPr>
              <w:cnfStyle w:val="000000100000" w:firstRow="0" w:lastRow="0" w:firstColumn="0" w:lastColumn="0" w:oddVBand="0" w:evenVBand="0" w:oddHBand="1" w:evenHBand="0" w:firstRowFirstColumn="0" w:firstRowLastColumn="0" w:lastRowFirstColumn="0" w:lastRowLastColumn="0"/>
              <w:rPr>
                <w:sz w:val="20"/>
                <w:szCs w:val="20"/>
              </w:rPr>
            </w:pPr>
            <w:r w:rsidRPr="00AE4E87">
              <w:rPr>
                <w:sz w:val="20"/>
                <w:szCs w:val="20"/>
              </w:rPr>
              <w:t>Schultz et al.</w:t>
            </w:r>
            <w:r>
              <w:rPr>
                <w:sz w:val="20"/>
                <w:szCs w:val="20"/>
              </w:rPr>
              <w:t>,</w:t>
            </w:r>
            <w:r w:rsidRPr="00AE4E87">
              <w:rPr>
                <w:sz w:val="20"/>
                <w:szCs w:val="20"/>
              </w:rPr>
              <w:t xml:space="preserve"> 2013, Glanville et al</w:t>
            </w:r>
            <w:r>
              <w:rPr>
                <w:sz w:val="20"/>
                <w:szCs w:val="20"/>
              </w:rPr>
              <w:t>.,</w:t>
            </w:r>
            <w:r w:rsidRPr="00AE4E87">
              <w:rPr>
                <w:sz w:val="20"/>
                <w:szCs w:val="20"/>
              </w:rPr>
              <w:t xml:space="preserve"> 2016</w:t>
            </w:r>
          </w:p>
        </w:tc>
      </w:tr>
    </w:tbl>
    <w:p w14:paraId="31C8C1CD" w14:textId="77777777" w:rsidR="002D2DA3" w:rsidRDefault="002D2DA3" w:rsidP="002D2DA3">
      <w:pPr>
        <w:pStyle w:val="BodyText"/>
      </w:pPr>
    </w:p>
    <w:p w14:paraId="31C8C1CE" w14:textId="77777777" w:rsidR="002D2DA3" w:rsidRDefault="002D2DA3" w:rsidP="002D2DA3">
      <w:pPr>
        <w:pStyle w:val="BodyText"/>
      </w:pPr>
    </w:p>
    <w:p w14:paraId="31C8C1CF" w14:textId="77777777" w:rsidR="002D2DA3" w:rsidRDefault="002D2DA3" w:rsidP="002D2DA3">
      <w:pPr>
        <w:pStyle w:val="BodyText"/>
      </w:pPr>
    </w:p>
    <w:p w14:paraId="31C8C1D0" w14:textId="77777777" w:rsidR="002D2DA3" w:rsidRDefault="002D2DA3" w:rsidP="002D2DA3">
      <w:pPr>
        <w:pStyle w:val="BodyText"/>
      </w:pPr>
    </w:p>
    <w:p w14:paraId="31C8C1D1" w14:textId="77777777" w:rsidR="002D2DA3" w:rsidRPr="002208F1" w:rsidRDefault="002D2DA3" w:rsidP="002D2DA3">
      <w:pPr>
        <w:pStyle w:val="BodyText"/>
      </w:pPr>
    </w:p>
    <w:p w14:paraId="31C8C1D2" w14:textId="77777777" w:rsidR="002D2DA3" w:rsidRPr="002D2DA3" w:rsidRDefault="002D2DA3" w:rsidP="002D2DA3">
      <w:pPr>
        <w:pStyle w:val="BodyText"/>
      </w:pPr>
    </w:p>
    <w:p w14:paraId="31C8C1D3" w14:textId="77777777" w:rsidR="007C6A17" w:rsidRDefault="000F1DA8" w:rsidP="007C6A17">
      <w:pPr>
        <w:pStyle w:val="Heading9"/>
      </w:pPr>
      <w:bookmarkStart w:id="117" w:name="_Toc509996511"/>
      <w:r>
        <w:lastRenderedPageBreak/>
        <w:t>Risk Assessment</w:t>
      </w:r>
      <w:bookmarkEnd w:id="117"/>
    </w:p>
    <w:p w14:paraId="31C8C1D4" w14:textId="77777777" w:rsidR="003E7130" w:rsidRPr="00DE78FA" w:rsidRDefault="00BB1DD0" w:rsidP="003E7130">
      <w:pPr>
        <w:pStyle w:val="Caption"/>
        <w:rPr>
          <w:bCs w:val="0"/>
          <w:sz w:val="20"/>
        </w:rPr>
      </w:pPr>
      <w:bookmarkStart w:id="118" w:name="_Ref509778364"/>
      <w:bookmarkStart w:id="119" w:name="_Toc509991062"/>
      <w:r>
        <w:t>App</w:t>
      </w:r>
      <w:r w:rsidR="003E7130">
        <w:t xml:space="preserve"> Table </w:t>
      </w:r>
      <w:r w:rsidR="00085933">
        <w:fldChar w:fldCharType="begin"/>
      </w:r>
      <w:r w:rsidR="00085933">
        <w:instrText xml:space="preserve"> SE</w:instrText>
      </w:r>
      <w:r w:rsidR="00085933">
        <w:instrText xml:space="preserve">Q Apx_Table \* ARABIC </w:instrText>
      </w:r>
      <w:r w:rsidR="00085933">
        <w:fldChar w:fldCharType="separate"/>
      </w:r>
      <w:r w:rsidR="00E96B43">
        <w:rPr>
          <w:noProof/>
        </w:rPr>
        <w:t>10</w:t>
      </w:r>
      <w:r w:rsidR="00085933">
        <w:rPr>
          <w:noProof/>
        </w:rPr>
        <w:fldChar w:fldCharType="end"/>
      </w:r>
      <w:bookmarkEnd w:id="118"/>
      <w:r w:rsidR="003E7130">
        <w:t xml:space="preserve">. </w:t>
      </w:r>
      <w:r w:rsidR="003E7130" w:rsidRPr="004B023E">
        <w:t>GDE Risk Matrix (Serov et al., 2012)</w:t>
      </w:r>
      <w:bookmarkEnd w:id="119"/>
    </w:p>
    <w:tbl>
      <w:tblPr>
        <w:tblW w:w="5000" w:type="pct"/>
        <w:jc w:val="center"/>
        <w:tblLook w:val="04A0" w:firstRow="1" w:lastRow="0" w:firstColumn="1" w:lastColumn="0" w:noHBand="0" w:noVBand="1"/>
      </w:tblPr>
      <w:tblGrid>
        <w:gridCol w:w="3330"/>
        <w:gridCol w:w="2376"/>
        <w:gridCol w:w="2376"/>
        <w:gridCol w:w="2374"/>
      </w:tblGrid>
      <w:tr w:rsidR="003E7130" w:rsidRPr="008451D3" w14:paraId="31C8C1D9" w14:textId="77777777" w:rsidTr="00544C45">
        <w:trPr>
          <w:trHeight w:val="407"/>
          <w:jc w:val="center"/>
        </w:trPr>
        <w:tc>
          <w:tcPr>
            <w:tcW w:w="1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C8C1D5" w14:textId="77777777" w:rsidR="003E7130" w:rsidRPr="008451D3" w:rsidRDefault="003E7130" w:rsidP="00544C45">
            <w:pPr>
              <w:spacing w:after="0"/>
              <w:rPr>
                <w:rFonts w:cs="Arial"/>
                <w:b/>
                <w:bCs/>
                <w:color w:val="auto"/>
                <w:sz w:val="18"/>
                <w:szCs w:val="18"/>
              </w:rPr>
            </w:pPr>
            <w:r w:rsidRPr="008451D3">
              <w:rPr>
                <w:rFonts w:cs="Arial"/>
                <w:b/>
                <w:bCs/>
                <w:color w:val="auto"/>
                <w:sz w:val="18"/>
                <w:szCs w:val="18"/>
                <w:lang w:val="en-US"/>
              </w:rPr>
              <w:t xml:space="preserve">Category 1: </w:t>
            </w:r>
            <w:r w:rsidRPr="008451D3">
              <w:rPr>
                <w:rFonts w:cs="Arial"/>
                <w:color w:val="auto"/>
                <w:sz w:val="18"/>
                <w:szCs w:val="18"/>
                <w:lang w:val="en-US"/>
              </w:rPr>
              <w:t>High Ecological Value (HEV)</w:t>
            </w:r>
            <w:r w:rsidR="00A16BED">
              <w:rPr>
                <w:rFonts w:cs="Arial"/>
                <w:color w:val="auto"/>
                <w:sz w:val="18"/>
                <w:szCs w:val="18"/>
                <w:lang w:val="en-US"/>
              </w:rPr>
              <w:t>,</w:t>
            </w:r>
            <w:r w:rsidRPr="008451D3">
              <w:rPr>
                <w:rFonts w:cs="Arial"/>
                <w:color w:val="auto"/>
                <w:sz w:val="18"/>
                <w:szCs w:val="18"/>
                <w:lang w:val="en-US"/>
              </w:rPr>
              <w:t xml:space="preserve"> Sensitive Environmental Area (SEA)</w:t>
            </w:r>
          </w:p>
        </w:tc>
        <w:tc>
          <w:tcPr>
            <w:tcW w:w="11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C8C1D6"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A</w:t>
            </w:r>
          </w:p>
        </w:tc>
        <w:tc>
          <w:tcPr>
            <w:tcW w:w="11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C8C1D7"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B</w:t>
            </w:r>
          </w:p>
        </w:tc>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C8C1D8"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C</w:t>
            </w:r>
          </w:p>
        </w:tc>
      </w:tr>
      <w:tr w:rsidR="003E7130" w:rsidRPr="008451D3" w14:paraId="31C8C1DE" w14:textId="77777777" w:rsidTr="00544C45">
        <w:trPr>
          <w:trHeight w:val="407"/>
          <w:jc w:val="center"/>
        </w:trPr>
        <w:tc>
          <w:tcPr>
            <w:tcW w:w="1593" w:type="pct"/>
            <w:vMerge/>
            <w:tcBorders>
              <w:top w:val="single" w:sz="4" w:space="0" w:color="auto"/>
              <w:left w:val="single" w:sz="4" w:space="0" w:color="auto"/>
              <w:bottom w:val="single" w:sz="4" w:space="0" w:color="000000"/>
              <w:right w:val="single" w:sz="4" w:space="0" w:color="auto"/>
            </w:tcBorders>
            <w:vAlign w:val="center"/>
            <w:hideMark/>
          </w:tcPr>
          <w:p w14:paraId="31C8C1DA" w14:textId="77777777" w:rsidR="003E7130" w:rsidRPr="008451D3" w:rsidRDefault="003E7130" w:rsidP="00544C45">
            <w:pPr>
              <w:spacing w:after="0"/>
              <w:rPr>
                <w:rFonts w:cs="Arial"/>
                <w:b/>
                <w:bCs/>
                <w:color w:val="auto"/>
                <w:sz w:val="18"/>
                <w:szCs w:val="18"/>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14:paraId="31C8C1DB" w14:textId="77777777" w:rsidR="003E7130" w:rsidRPr="008451D3" w:rsidRDefault="003E7130" w:rsidP="00544C45">
            <w:pPr>
              <w:spacing w:after="0"/>
              <w:rPr>
                <w:rFonts w:cs="Arial"/>
                <w:b/>
                <w:bCs/>
                <w:color w:val="auto"/>
                <w:sz w:val="18"/>
                <w:szCs w:val="18"/>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14:paraId="31C8C1DC" w14:textId="77777777" w:rsidR="003E7130" w:rsidRPr="008451D3" w:rsidRDefault="003E7130" w:rsidP="00544C45">
            <w:pPr>
              <w:spacing w:after="0"/>
              <w:rPr>
                <w:rFonts w:cs="Arial"/>
                <w:b/>
                <w:bCs/>
                <w:color w:val="auto"/>
                <w:sz w:val="18"/>
                <w:szCs w:val="18"/>
              </w:rPr>
            </w:pPr>
          </w:p>
        </w:tc>
        <w:tc>
          <w:tcPr>
            <w:tcW w:w="1135" w:type="pct"/>
            <w:vMerge/>
            <w:tcBorders>
              <w:top w:val="single" w:sz="4" w:space="0" w:color="auto"/>
              <w:left w:val="single" w:sz="4" w:space="0" w:color="auto"/>
              <w:bottom w:val="single" w:sz="4" w:space="0" w:color="auto"/>
              <w:right w:val="single" w:sz="4" w:space="0" w:color="auto"/>
            </w:tcBorders>
            <w:vAlign w:val="center"/>
            <w:hideMark/>
          </w:tcPr>
          <w:p w14:paraId="31C8C1DD" w14:textId="77777777" w:rsidR="003E7130" w:rsidRPr="008451D3" w:rsidRDefault="003E7130" w:rsidP="00544C45">
            <w:pPr>
              <w:spacing w:after="0"/>
              <w:rPr>
                <w:rFonts w:cs="Arial"/>
                <w:b/>
                <w:bCs/>
                <w:color w:val="auto"/>
                <w:sz w:val="18"/>
                <w:szCs w:val="18"/>
              </w:rPr>
            </w:pPr>
          </w:p>
        </w:tc>
      </w:tr>
      <w:tr w:rsidR="003E7130" w:rsidRPr="008451D3" w14:paraId="31C8C1E3" w14:textId="77777777" w:rsidTr="00544C45">
        <w:trPr>
          <w:trHeight w:val="407"/>
          <w:jc w:val="center"/>
        </w:trPr>
        <w:tc>
          <w:tcPr>
            <w:tcW w:w="1593" w:type="pct"/>
            <w:vMerge w:val="restart"/>
            <w:tcBorders>
              <w:top w:val="nil"/>
              <w:left w:val="single" w:sz="4" w:space="0" w:color="auto"/>
              <w:bottom w:val="single" w:sz="4" w:space="0" w:color="000000"/>
              <w:right w:val="single" w:sz="4" w:space="0" w:color="auto"/>
            </w:tcBorders>
            <w:shd w:val="clear" w:color="auto" w:fill="auto"/>
            <w:vAlign w:val="center"/>
            <w:hideMark/>
          </w:tcPr>
          <w:p w14:paraId="31C8C1DF" w14:textId="77777777" w:rsidR="003E7130" w:rsidRPr="008451D3" w:rsidRDefault="003E7130" w:rsidP="00544C45">
            <w:pPr>
              <w:spacing w:after="0"/>
              <w:rPr>
                <w:rFonts w:cs="Arial"/>
                <w:b/>
                <w:bCs/>
                <w:color w:val="auto"/>
                <w:sz w:val="18"/>
                <w:szCs w:val="18"/>
              </w:rPr>
            </w:pPr>
            <w:r w:rsidRPr="008451D3">
              <w:rPr>
                <w:rFonts w:cs="Arial"/>
                <w:b/>
                <w:bCs/>
                <w:color w:val="auto"/>
                <w:sz w:val="18"/>
                <w:szCs w:val="18"/>
                <w:lang w:val="en-US"/>
              </w:rPr>
              <w:t>Category 2:</w:t>
            </w:r>
            <w:r w:rsidRPr="008451D3">
              <w:rPr>
                <w:rFonts w:cs="Arial"/>
                <w:color w:val="auto"/>
                <w:sz w:val="18"/>
                <w:szCs w:val="18"/>
                <w:lang w:val="en-US"/>
              </w:rPr>
              <w:t xml:space="preserve"> Moderate Ecological Value (MEV)</w:t>
            </w:r>
            <w:r w:rsidR="00A16BED">
              <w:rPr>
                <w:rFonts w:cs="Arial"/>
                <w:color w:val="auto"/>
                <w:sz w:val="18"/>
                <w:szCs w:val="18"/>
                <w:lang w:val="en-US"/>
              </w:rPr>
              <w:t>,</w:t>
            </w:r>
            <w:r w:rsidRPr="008451D3">
              <w:rPr>
                <w:rFonts w:cs="Arial"/>
                <w:color w:val="auto"/>
                <w:sz w:val="18"/>
                <w:szCs w:val="18"/>
                <w:lang w:val="en-US"/>
              </w:rPr>
              <w:t xml:space="preserve"> Sensitive Environmental Area (SEA)</w:t>
            </w:r>
          </w:p>
        </w:tc>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31C8C1E0"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D</w:t>
            </w:r>
          </w:p>
        </w:tc>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31C8C1E1"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E</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31C8C1E2"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rPr>
              <w:t>F</w:t>
            </w:r>
          </w:p>
        </w:tc>
      </w:tr>
      <w:tr w:rsidR="003E7130" w:rsidRPr="008451D3" w14:paraId="31C8C1E8" w14:textId="77777777" w:rsidTr="00544C45">
        <w:trPr>
          <w:trHeight w:val="407"/>
          <w:jc w:val="center"/>
        </w:trPr>
        <w:tc>
          <w:tcPr>
            <w:tcW w:w="1593" w:type="pct"/>
            <w:vMerge/>
            <w:tcBorders>
              <w:top w:val="nil"/>
              <w:left w:val="single" w:sz="4" w:space="0" w:color="auto"/>
              <w:bottom w:val="single" w:sz="4" w:space="0" w:color="000000"/>
              <w:right w:val="single" w:sz="4" w:space="0" w:color="auto"/>
            </w:tcBorders>
            <w:vAlign w:val="center"/>
            <w:hideMark/>
          </w:tcPr>
          <w:p w14:paraId="31C8C1E4" w14:textId="77777777" w:rsidR="003E7130" w:rsidRPr="008451D3" w:rsidRDefault="003E7130" w:rsidP="00544C45">
            <w:pPr>
              <w:spacing w:after="0"/>
              <w:rPr>
                <w:rFonts w:cs="Arial"/>
                <w:b/>
                <w:bCs/>
                <w:color w:val="auto"/>
                <w:sz w:val="18"/>
                <w:szCs w:val="18"/>
              </w:rPr>
            </w:pPr>
          </w:p>
        </w:tc>
        <w:tc>
          <w:tcPr>
            <w:tcW w:w="1136" w:type="pct"/>
            <w:vMerge/>
            <w:tcBorders>
              <w:top w:val="nil"/>
              <w:left w:val="single" w:sz="4" w:space="0" w:color="auto"/>
              <w:bottom w:val="single" w:sz="4" w:space="0" w:color="auto"/>
              <w:right w:val="single" w:sz="4" w:space="0" w:color="auto"/>
            </w:tcBorders>
            <w:vAlign w:val="center"/>
            <w:hideMark/>
          </w:tcPr>
          <w:p w14:paraId="31C8C1E5" w14:textId="77777777" w:rsidR="003E7130" w:rsidRPr="008451D3" w:rsidRDefault="003E7130" w:rsidP="00544C45">
            <w:pPr>
              <w:spacing w:after="0"/>
              <w:rPr>
                <w:rFonts w:cs="Arial"/>
                <w:b/>
                <w:bCs/>
                <w:color w:val="auto"/>
                <w:sz w:val="18"/>
                <w:szCs w:val="18"/>
              </w:rPr>
            </w:pPr>
          </w:p>
        </w:tc>
        <w:tc>
          <w:tcPr>
            <w:tcW w:w="1136" w:type="pct"/>
            <w:vMerge/>
            <w:tcBorders>
              <w:top w:val="nil"/>
              <w:left w:val="single" w:sz="4" w:space="0" w:color="auto"/>
              <w:bottom w:val="single" w:sz="4" w:space="0" w:color="auto"/>
              <w:right w:val="single" w:sz="4" w:space="0" w:color="auto"/>
            </w:tcBorders>
            <w:vAlign w:val="center"/>
            <w:hideMark/>
          </w:tcPr>
          <w:p w14:paraId="31C8C1E6" w14:textId="77777777" w:rsidR="003E7130" w:rsidRPr="008451D3" w:rsidRDefault="003E7130" w:rsidP="00544C45">
            <w:pPr>
              <w:spacing w:after="0"/>
              <w:rPr>
                <w:rFonts w:cs="Arial"/>
                <w:b/>
                <w:bCs/>
                <w:color w:val="auto"/>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31C8C1E7" w14:textId="77777777" w:rsidR="003E7130" w:rsidRPr="008451D3" w:rsidRDefault="003E7130" w:rsidP="00544C45">
            <w:pPr>
              <w:spacing w:after="0"/>
              <w:rPr>
                <w:rFonts w:cs="Arial"/>
                <w:b/>
                <w:bCs/>
                <w:color w:val="auto"/>
                <w:sz w:val="18"/>
                <w:szCs w:val="18"/>
              </w:rPr>
            </w:pPr>
          </w:p>
        </w:tc>
      </w:tr>
      <w:tr w:rsidR="003E7130" w:rsidRPr="008451D3" w14:paraId="31C8C1ED" w14:textId="77777777" w:rsidTr="00544C45">
        <w:trPr>
          <w:trHeight w:val="407"/>
          <w:jc w:val="center"/>
        </w:trPr>
        <w:tc>
          <w:tcPr>
            <w:tcW w:w="1593" w:type="pct"/>
            <w:vMerge w:val="restart"/>
            <w:tcBorders>
              <w:top w:val="nil"/>
              <w:left w:val="single" w:sz="4" w:space="0" w:color="auto"/>
              <w:bottom w:val="single" w:sz="4" w:space="0" w:color="000000"/>
              <w:right w:val="single" w:sz="4" w:space="0" w:color="auto"/>
            </w:tcBorders>
            <w:shd w:val="clear" w:color="auto" w:fill="auto"/>
            <w:vAlign w:val="center"/>
            <w:hideMark/>
          </w:tcPr>
          <w:p w14:paraId="31C8C1E9" w14:textId="77777777" w:rsidR="003E7130" w:rsidRPr="008451D3" w:rsidRDefault="003E7130" w:rsidP="00544C45">
            <w:pPr>
              <w:spacing w:after="0"/>
              <w:rPr>
                <w:rFonts w:cs="Arial"/>
                <w:b/>
                <w:bCs/>
                <w:color w:val="auto"/>
                <w:sz w:val="18"/>
                <w:szCs w:val="18"/>
              </w:rPr>
            </w:pPr>
            <w:r w:rsidRPr="008451D3">
              <w:rPr>
                <w:rFonts w:cs="Arial"/>
                <w:b/>
                <w:bCs/>
                <w:color w:val="auto"/>
                <w:sz w:val="18"/>
                <w:szCs w:val="18"/>
                <w:lang w:val="en-US"/>
              </w:rPr>
              <w:t xml:space="preserve">Category 3: </w:t>
            </w:r>
            <w:r w:rsidRPr="008451D3">
              <w:rPr>
                <w:rFonts w:cs="Arial"/>
                <w:color w:val="auto"/>
                <w:sz w:val="18"/>
                <w:szCs w:val="18"/>
                <w:lang w:val="en-US"/>
              </w:rPr>
              <w:t>Low Ecological Value  (LEV)</w:t>
            </w:r>
          </w:p>
        </w:tc>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31C8C1EA"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G</w:t>
            </w:r>
          </w:p>
        </w:tc>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31C8C1EB"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H</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31C8C1EC"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I</w:t>
            </w:r>
          </w:p>
        </w:tc>
      </w:tr>
      <w:tr w:rsidR="003E7130" w:rsidRPr="008451D3" w14:paraId="31C8C1F2" w14:textId="77777777" w:rsidTr="00544C45">
        <w:trPr>
          <w:trHeight w:val="407"/>
          <w:jc w:val="center"/>
        </w:trPr>
        <w:tc>
          <w:tcPr>
            <w:tcW w:w="1593" w:type="pct"/>
            <w:vMerge/>
            <w:tcBorders>
              <w:top w:val="nil"/>
              <w:left w:val="single" w:sz="4" w:space="0" w:color="auto"/>
              <w:bottom w:val="single" w:sz="4" w:space="0" w:color="000000"/>
              <w:right w:val="single" w:sz="4" w:space="0" w:color="auto"/>
            </w:tcBorders>
            <w:vAlign w:val="center"/>
            <w:hideMark/>
          </w:tcPr>
          <w:p w14:paraId="31C8C1EE" w14:textId="77777777" w:rsidR="003E7130" w:rsidRPr="008451D3" w:rsidRDefault="003E7130" w:rsidP="00544C45">
            <w:pPr>
              <w:spacing w:after="0"/>
              <w:rPr>
                <w:rFonts w:cs="Arial"/>
                <w:b/>
                <w:bCs/>
                <w:color w:val="auto"/>
                <w:sz w:val="18"/>
                <w:szCs w:val="18"/>
              </w:rPr>
            </w:pPr>
          </w:p>
        </w:tc>
        <w:tc>
          <w:tcPr>
            <w:tcW w:w="1136" w:type="pct"/>
            <w:vMerge/>
            <w:tcBorders>
              <w:top w:val="nil"/>
              <w:left w:val="single" w:sz="4" w:space="0" w:color="auto"/>
              <w:bottom w:val="single" w:sz="4" w:space="0" w:color="auto"/>
              <w:right w:val="single" w:sz="4" w:space="0" w:color="auto"/>
            </w:tcBorders>
            <w:vAlign w:val="center"/>
            <w:hideMark/>
          </w:tcPr>
          <w:p w14:paraId="31C8C1EF" w14:textId="77777777" w:rsidR="003E7130" w:rsidRPr="008451D3" w:rsidRDefault="003E7130" w:rsidP="00544C45">
            <w:pPr>
              <w:spacing w:after="0"/>
              <w:rPr>
                <w:rFonts w:cs="Arial"/>
                <w:b/>
                <w:bCs/>
                <w:color w:val="auto"/>
                <w:sz w:val="18"/>
                <w:szCs w:val="18"/>
              </w:rPr>
            </w:pPr>
          </w:p>
        </w:tc>
        <w:tc>
          <w:tcPr>
            <w:tcW w:w="1136" w:type="pct"/>
            <w:vMerge/>
            <w:tcBorders>
              <w:top w:val="nil"/>
              <w:left w:val="single" w:sz="4" w:space="0" w:color="auto"/>
              <w:bottom w:val="single" w:sz="4" w:space="0" w:color="auto"/>
              <w:right w:val="single" w:sz="4" w:space="0" w:color="auto"/>
            </w:tcBorders>
            <w:vAlign w:val="center"/>
            <w:hideMark/>
          </w:tcPr>
          <w:p w14:paraId="31C8C1F0" w14:textId="77777777" w:rsidR="003E7130" w:rsidRPr="008451D3" w:rsidRDefault="003E7130" w:rsidP="00544C45">
            <w:pPr>
              <w:spacing w:after="0"/>
              <w:rPr>
                <w:rFonts w:cs="Arial"/>
                <w:b/>
                <w:bCs/>
                <w:color w:val="auto"/>
                <w:sz w:val="18"/>
                <w:szCs w:val="18"/>
              </w:rPr>
            </w:pPr>
          </w:p>
        </w:tc>
        <w:tc>
          <w:tcPr>
            <w:tcW w:w="1135" w:type="pct"/>
            <w:vMerge/>
            <w:tcBorders>
              <w:top w:val="nil"/>
              <w:left w:val="single" w:sz="4" w:space="0" w:color="auto"/>
              <w:bottom w:val="single" w:sz="4" w:space="0" w:color="auto"/>
              <w:right w:val="single" w:sz="4" w:space="0" w:color="auto"/>
            </w:tcBorders>
            <w:vAlign w:val="center"/>
            <w:hideMark/>
          </w:tcPr>
          <w:p w14:paraId="31C8C1F1" w14:textId="77777777" w:rsidR="003E7130" w:rsidRPr="008451D3" w:rsidRDefault="003E7130" w:rsidP="00544C45">
            <w:pPr>
              <w:spacing w:after="0"/>
              <w:rPr>
                <w:rFonts w:cs="Arial"/>
                <w:b/>
                <w:bCs/>
                <w:color w:val="auto"/>
                <w:sz w:val="18"/>
                <w:szCs w:val="18"/>
              </w:rPr>
            </w:pPr>
          </w:p>
        </w:tc>
      </w:tr>
      <w:tr w:rsidR="003E7130" w:rsidRPr="008451D3" w14:paraId="31C8C1F7" w14:textId="77777777" w:rsidTr="00544C45">
        <w:trPr>
          <w:trHeight w:val="407"/>
          <w:jc w:val="center"/>
        </w:trPr>
        <w:tc>
          <w:tcPr>
            <w:tcW w:w="1593" w:type="pct"/>
            <w:tcBorders>
              <w:top w:val="nil"/>
              <w:left w:val="nil"/>
              <w:bottom w:val="nil"/>
              <w:right w:val="nil"/>
            </w:tcBorders>
            <w:shd w:val="clear" w:color="auto" w:fill="auto"/>
            <w:vAlign w:val="center"/>
            <w:hideMark/>
          </w:tcPr>
          <w:p w14:paraId="31C8C1F3" w14:textId="77777777" w:rsidR="003E7130" w:rsidRPr="008451D3" w:rsidRDefault="003E7130" w:rsidP="00544C45">
            <w:pPr>
              <w:spacing w:after="0"/>
              <w:jc w:val="center"/>
              <w:rPr>
                <w:rFonts w:cs="Arial"/>
                <w:b/>
                <w:bCs/>
                <w:color w:val="auto"/>
                <w:sz w:val="18"/>
                <w:szCs w:val="18"/>
              </w:rPr>
            </w:pPr>
          </w:p>
        </w:tc>
        <w:tc>
          <w:tcPr>
            <w:tcW w:w="1136" w:type="pct"/>
            <w:tcBorders>
              <w:top w:val="nil"/>
              <w:left w:val="single" w:sz="4" w:space="0" w:color="auto"/>
              <w:bottom w:val="single" w:sz="4" w:space="0" w:color="auto"/>
              <w:right w:val="single" w:sz="4" w:space="0" w:color="auto"/>
            </w:tcBorders>
            <w:shd w:val="clear" w:color="auto" w:fill="auto"/>
            <w:vAlign w:val="center"/>
            <w:hideMark/>
          </w:tcPr>
          <w:p w14:paraId="31C8C1F4"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 xml:space="preserve">Category 1: </w:t>
            </w:r>
            <w:r w:rsidRPr="008451D3">
              <w:rPr>
                <w:rFonts w:cs="Arial"/>
                <w:color w:val="auto"/>
                <w:sz w:val="18"/>
                <w:szCs w:val="18"/>
                <w:lang w:val="en-US"/>
              </w:rPr>
              <w:t>Low Risk</w:t>
            </w:r>
          </w:p>
        </w:tc>
        <w:tc>
          <w:tcPr>
            <w:tcW w:w="1136" w:type="pct"/>
            <w:tcBorders>
              <w:top w:val="nil"/>
              <w:left w:val="nil"/>
              <w:bottom w:val="single" w:sz="4" w:space="0" w:color="auto"/>
              <w:right w:val="single" w:sz="4" w:space="0" w:color="auto"/>
            </w:tcBorders>
            <w:shd w:val="clear" w:color="auto" w:fill="auto"/>
            <w:vAlign w:val="center"/>
            <w:hideMark/>
          </w:tcPr>
          <w:p w14:paraId="31C8C1F5"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 xml:space="preserve">Category 2: </w:t>
            </w:r>
            <w:r w:rsidRPr="008451D3">
              <w:rPr>
                <w:rFonts w:cs="Arial"/>
                <w:color w:val="auto"/>
                <w:sz w:val="18"/>
                <w:szCs w:val="18"/>
                <w:lang w:val="en-US"/>
              </w:rPr>
              <w:t>Moderate Risk</w:t>
            </w:r>
          </w:p>
        </w:tc>
        <w:tc>
          <w:tcPr>
            <w:tcW w:w="1135" w:type="pct"/>
            <w:tcBorders>
              <w:top w:val="nil"/>
              <w:left w:val="nil"/>
              <w:bottom w:val="single" w:sz="4" w:space="0" w:color="auto"/>
              <w:right w:val="single" w:sz="4" w:space="0" w:color="auto"/>
            </w:tcBorders>
            <w:shd w:val="clear" w:color="auto" w:fill="auto"/>
            <w:vAlign w:val="center"/>
            <w:hideMark/>
          </w:tcPr>
          <w:p w14:paraId="31C8C1F6"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 xml:space="preserve">Category 3: </w:t>
            </w:r>
            <w:r w:rsidRPr="008451D3">
              <w:rPr>
                <w:rFonts w:cs="Arial"/>
                <w:color w:val="auto"/>
                <w:sz w:val="18"/>
                <w:szCs w:val="18"/>
                <w:lang w:val="en-US"/>
              </w:rPr>
              <w:t>High Risk</w:t>
            </w:r>
          </w:p>
        </w:tc>
      </w:tr>
    </w:tbl>
    <w:p w14:paraId="31C8C1F8" w14:textId="77777777" w:rsidR="003E7130" w:rsidRPr="008451D3" w:rsidRDefault="003E7130" w:rsidP="003E7130">
      <w:pPr>
        <w:rPr>
          <w:color w:val="auto"/>
          <w:highlight w:val="yellow"/>
        </w:rPr>
      </w:pPr>
    </w:p>
    <w:p w14:paraId="31C8C1F9" w14:textId="77777777" w:rsidR="003E7130" w:rsidRPr="00DE78FA" w:rsidRDefault="00BB1DD0" w:rsidP="003E7130">
      <w:pPr>
        <w:pStyle w:val="Caption"/>
        <w:rPr>
          <w:bCs w:val="0"/>
          <w:sz w:val="20"/>
        </w:rPr>
      </w:pPr>
      <w:bookmarkStart w:id="120" w:name="_Ref509778387"/>
      <w:bookmarkStart w:id="121" w:name="_Toc509991063"/>
      <w:r>
        <w:t>App</w:t>
      </w:r>
      <w:r w:rsidR="003E7130">
        <w:t xml:space="preserve"> Table </w:t>
      </w:r>
      <w:r w:rsidR="00085933">
        <w:fldChar w:fldCharType="begin"/>
      </w:r>
      <w:r w:rsidR="00085933">
        <w:instrText xml:space="preserve"> SEQ Apx_Table \* ARABIC </w:instrText>
      </w:r>
      <w:r w:rsidR="00085933">
        <w:fldChar w:fldCharType="separate"/>
      </w:r>
      <w:r w:rsidR="00E96B43">
        <w:rPr>
          <w:noProof/>
        </w:rPr>
        <w:t>11</w:t>
      </w:r>
      <w:r w:rsidR="00085933">
        <w:rPr>
          <w:noProof/>
        </w:rPr>
        <w:fldChar w:fldCharType="end"/>
      </w:r>
      <w:bookmarkEnd w:id="120"/>
      <w:r w:rsidR="003E7130">
        <w:rPr>
          <w:bCs w:val="0"/>
          <w:sz w:val="20"/>
        </w:rPr>
        <w:t>.</w:t>
      </w:r>
      <w:r w:rsidR="003E7130" w:rsidRPr="00DE78FA">
        <w:rPr>
          <w:bCs w:val="0"/>
          <w:sz w:val="20"/>
        </w:rPr>
        <w:t xml:space="preserve"> Risk Matrix management actions (Serov et al</w:t>
      </w:r>
      <w:r w:rsidR="003E7130">
        <w:rPr>
          <w:bCs w:val="0"/>
          <w:sz w:val="20"/>
        </w:rPr>
        <w:t>.,</w:t>
      </w:r>
      <w:r w:rsidR="003E7130" w:rsidRPr="00DE78FA">
        <w:rPr>
          <w:bCs w:val="0"/>
          <w:sz w:val="20"/>
        </w:rPr>
        <w:t xml:space="preserve"> 2012)</w:t>
      </w:r>
      <w:bookmarkEnd w:id="1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691"/>
        <w:gridCol w:w="2823"/>
        <w:gridCol w:w="3220"/>
        <w:gridCol w:w="1920"/>
      </w:tblGrid>
      <w:tr w:rsidR="003E7130" w:rsidRPr="008451D3" w14:paraId="31C8C1FD" w14:textId="77777777" w:rsidTr="00544C45">
        <w:trPr>
          <w:trHeight w:hRule="exact" w:val="645"/>
          <w:tblHeader/>
          <w:jc w:val="center"/>
        </w:trPr>
        <w:tc>
          <w:tcPr>
            <w:tcW w:w="383" w:type="pct"/>
            <w:vMerge w:val="restart"/>
            <w:shd w:val="clear" w:color="000000" w:fill="D9D9D9"/>
            <w:vAlign w:val="center"/>
            <w:hideMark/>
          </w:tcPr>
          <w:p w14:paraId="31C8C1FA"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Risk Matrix Box</w:t>
            </w:r>
          </w:p>
        </w:tc>
        <w:tc>
          <w:tcPr>
            <w:tcW w:w="808" w:type="pct"/>
            <w:vMerge w:val="restart"/>
            <w:shd w:val="clear" w:color="000000" w:fill="D9D9D9"/>
            <w:vAlign w:val="center"/>
            <w:hideMark/>
          </w:tcPr>
          <w:p w14:paraId="31C8C1FB"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Descriptor</w:t>
            </w:r>
          </w:p>
        </w:tc>
        <w:tc>
          <w:tcPr>
            <w:tcW w:w="3808" w:type="pct"/>
            <w:gridSpan w:val="3"/>
            <w:shd w:val="clear" w:color="000000" w:fill="D9D9D9"/>
            <w:vAlign w:val="center"/>
            <w:hideMark/>
          </w:tcPr>
          <w:p w14:paraId="31C8C1FC"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 xml:space="preserve">Management action </w:t>
            </w:r>
          </w:p>
        </w:tc>
      </w:tr>
      <w:tr w:rsidR="003E7130" w:rsidRPr="008451D3" w14:paraId="31C8C203" w14:textId="77777777" w:rsidTr="00544C45">
        <w:trPr>
          <w:trHeight w:val="465"/>
          <w:tblHeader/>
          <w:jc w:val="center"/>
        </w:trPr>
        <w:tc>
          <w:tcPr>
            <w:tcW w:w="383" w:type="pct"/>
            <w:vMerge/>
            <w:vAlign w:val="center"/>
            <w:hideMark/>
          </w:tcPr>
          <w:p w14:paraId="31C8C1FE" w14:textId="77777777" w:rsidR="003E7130" w:rsidRPr="008451D3" w:rsidRDefault="003E7130" w:rsidP="00544C45">
            <w:pPr>
              <w:spacing w:after="0"/>
              <w:rPr>
                <w:rFonts w:cs="Arial"/>
                <w:color w:val="auto"/>
                <w:sz w:val="18"/>
                <w:szCs w:val="18"/>
              </w:rPr>
            </w:pPr>
          </w:p>
        </w:tc>
        <w:tc>
          <w:tcPr>
            <w:tcW w:w="808" w:type="pct"/>
            <w:vMerge/>
            <w:vAlign w:val="center"/>
            <w:hideMark/>
          </w:tcPr>
          <w:p w14:paraId="31C8C1FF" w14:textId="77777777" w:rsidR="003E7130" w:rsidRPr="008451D3" w:rsidRDefault="003E7130" w:rsidP="00544C45">
            <w:pPr>
              <w:spacing w:after="0"/>
              <w:rPr>
                <w:rFonts w:cs="Arial"/>
                <w:color w:val="auto"/>
                <w:sz w:val="18"/>
                <w:szCs w:val="18"/>
              </w:rPr>
            </w:pPr>
          </w:p>
        </w:tc>
        <w:tc>
          <w:tcPr>
            <w:tcW w:w="1350" w:type="pct"/>
            <w:shd w:val="clear" w:color="000000" w:fill="D9D9D9"/>
            <w:vAlign w:val="center"/>
            <w:hideMark/>
          </w:tcPr>
          <w:p w14:paraId="31C8C200"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rPr>
              <w:t>Short term</w:t>
            </w:r>
          </w:p>
        </w:tc>
        <w:tc>
          <w:tcPr>
            <w:tcW w:w="1540" w:type="pct"/>
            <w:shd w:val="clear" w:color="000000" w:fill="D9D9D9"/>
            <w:vAlign w:val="center"/>
            <w:hideMark/>
          </w:tcPr>
          <w:p w14:paraId="31C8C201"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rPr>
              <w:t>Mid-term</w:t>
            </w:r>
          </w:p>
        </w:tc>
        <w:tc>
          <w:tcPr>
            <w:tcW w:w="918" w:type="pct"/>
            <w:shd w:val="clear" w:color="000000" w:fill="D9D9D9"/>
            <w:vAlign w:val="center"/>
            <w:hideMark/>
          </w:tcPr>
          <w:p w14:paraId="31C8C202"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rPr>
              <w:t>Long term</w:t>
            </w:r>
          </w:p>
        </w:tc>
      </w:tr>
      <w:tr w:rsidR="003E7130" w:rsidRPr="008451D3" w14:paraId="31C8C209" w14:textId="77777777" w:rsidTr="00544C45">
        <w:trPr>
          <w:trHeight w:val="960"/>
          <w:jc w:val="center"/>
        </w:trPr>
        <w:tc>
          <w:tcPr>
            <w:tcW w:w="383" w:type="pct"/>
            <w:vMerge w:val="restart"/>
            <w:shd w:val="clear" w:color="auto" w:fill="auto"/>
            <w:vAlign w:val="center"/>
            <w:hideMark/>
          </w:tcPr>
          <w:p w14:paraId="31C8C204"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A</w:t>
            </w:r>
          </w:p>
        </w:tc>
        <w:tc>
          <w:tcPr>
            <w:tcW w:w="808" w:type="pct"/>
            <w:vMerge w:val="restart"/>
            <w:shd w:val="clear" w:color="auto" w:fill="auto"/>
            <w:vAlign w:val="center"/>
            <w:hideMark/>
          </w:tcPr>
          <w:p w14:paraId="31C8C205"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High value/Low risk</w:t>
            </w:r>
          </w:p>
        </w:tc>
        <w:tc>
          <w:tcPr>
            <w:tcW w:w="1350" w:type="pct"/>
            <w:vMerge w:val="restart"/>
            <w:shd w:val="clear" w:color="auto" w:fill="auto"/>
            <w:hideMark/>
          </w:tcPr>
          <w:p w14:paraId="31C8C206"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Protectio</w:t>
            </w:r>
            <w:r>
              <w:rPr>
                <w:rFonts w:cs="Arial"/>
                <w:color w:val="auto"/>
                <w:sz w:val="18"/>
                <w:szCs w:val="18"/>
                <w:lang w:val="en-US"/>
              </w:rPr>
              <w:t>n measures for aquifer and GDEs</w:t>
            </w:r>
          </w:p>
        </w:tc>
        <w:tc>
          <w:tcPr>
            <w:tcW w:w="1540" w:type="pct"/>
            <w:vMerge w:val="restart"/>
            <w:shd w:val="clear" w:color="auto" w:fill="auto"/>
            <w:hideMark/>
          </w:tcPr>
          <w:p w14:paraId="31C8C207"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Continue protection</w:t>
            </w:r>
            <w:r>
              <w:rPr>
                <w:rFonts w:cs="Arial"/>
                <w:color w:val="auto"/>
                <w:sz w:val="18"/>
                <w:szCs w:val="18"/>
                <w:lang w:val="en-US"/>
              </w:rPr>
              <w:t xml:space="preserve"> measures for aquifers and GDEs</w:t>
            </w:r>
          </w:p>
        </w:tc>
        <w:tc>
          <w:tcPr>
            <w:tcW w:w="918" w:type="pct"/>
            <w:vMerge w:val="restart"/>
            <w:shd w:val="clear" w:color="auto" w:fill="auto"/>
            <w:hideMark/>
          </w:tcPr>
          <w:p w14:paraId="31C8C208"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Adaptive management. Continue monitoring.</w:t>
            </w:r>
          </w:p>
        </w:tc>
      </w:tr>
      <w:tr w:rsidR="003E7130" w:rsidRPr="008451D3" w14:paraId="31C8C20F" w14:textId="77777777" w:rsidTr="00544C45">
        <w:trPr>
          <w:trHeight w:val="300"/>
          <w:jc w:val="center"/>
        </w:trPr>
        <w:tc>
          <w:tcPr>
            <w:tcW w:w="383" w:type="pct"/>
            <w:vMerge/>
            <w:vAlign w:val="center"/>
            <w:hideMark/>
          </w:tcPr>
          <w:p w14:paraId="31C8C20A"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0B"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0C"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0D"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0E" w14:textId="77777777" w:rsidR="003E7130" w:rsidRPr="008451D3" w:rsidRDefault="003E7130" w:rsidP="00544C45">
            <w:pPr>
              <w:spacing w:after="0"/>
              <w:rPr>
                <w:rFonts w:cs="Arial"/>
                <w:color w:val="auto"/>
                <w:sz w:val="18"/>
                <w:szCs w:val="18"/>
              </w:rPr>
            </w:pPr>
          </w:p>
        </w:tc>
      </w:tr>
      <w:tr w:rsidR="003E7130" w:rsidRPr="008451D3" w14:paraId="31C8C215" w14:textId="77777777" w:rsidTr="00544C45">
        <w:trPr>
          <w:trHeight w:val="720"/>
          <w:jc w:val="center"/>
        </w:trPr>
        <w:tc>
          <w:tcPr>
            <w:tcW w:w="383" w:type="pct"/>
            <w:vMerge/>
            <w:vAlign w:val="center"/>
            <w:hideMark/>
          </w:tcPr>
          <w:p w14:paraId="31C8C210"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11" w14:textId="77777777" w:rsidR="003E7130" w:rsidRPr="008451D3" w:rsidRDefault="003E7130" w:rsidP="00544C45">
            <w:pPr>
              <w:spacing w:after="0"/>
              <w:rPr>
                <w:rFonts w:cs="Arial"/>
                <w:color w:val="auto"/>
                <w:sz w:val="18"/>
                <w:szCs w:val="18"/>
              </w:rPr>
            </w:pPr>
          </w:p>
        </w:tc>
        <w:tc>
          <w:tcPr>
            <w:tcW w:w="1350" w:type="pct"/>
            <w:shd w:val="clear" w:color="auto" w:fill="auto"/>
            <w:hideMark/>
          </w:tcPr>
          <w:p w14:paraId="31C8C212" w14:textId="77777777" w:rsidR="003E7130" w:rsidRPr="008451D3" w:rsidRDefault="003E7130" w:rsidP="00544C45">
            <w:pPr>
              <w:spacing w:after="0"/>
              <w:rPr>
                <w:rFonts w:cs="Arial"/>
                <w:color w:val="auto"/>
                <w:sz w:val="18"/>
                <w:szCs w:val="18"/>
              </w:rPr>
            </w:pPr>
            <w:r>
              <w:rPr>
                <w:rFonts w:cs="Arial"/>
                <w:color w:val="auto"/>
                <w:sz w:val="18"/>
                <w:szCs w:val="18"/>
                <w:lang w:val="en-US"/>
              </w:rPr>
              <w:t xml:space="preserve">Baseline </w:t>
            </w:r>
            <w:r w:rsidR="00A16BED">
              <w:rPr>
                <w:rFonts w:cs="Arial"/>
                <w:color w:val="auto"/>
                <w:sz w:val="18"/>
                <w:szCs w:val="18"/>
                <w:lang w:val="en-US"/>
              </w:rPr>
              <w:t>r</w:t>
            </w:r>
            <w:r>
              <w:rPr>
                <w:rFonts w:cs="Arial"/>
                <w:color w:val="auto"/>
                <w:sz w:val="18"/>
                <w:szCs w:val="18"/>
                <w:lang w:val="en-US"/>
              </w:rPr>
              <w:t>isk monitoring</w:t>
            </w:r>
          </w:p>
        </w:tc>
        <w:tc>
          <w:tcPr>
            <w:tcW w:w="1540" w:type="pct"/>
            <w:shd w:val="clear" w:color="auto" w:fill="auto"/>
            <w:hideMark/>
          </w:tcPr>
          <w:p w14:paraId="31C8C213"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Periodic moni</w:t>
            </w:r>
            <w:r>
              <w:rPr>
                <w:rFonts w:cs="Arial"/>
                <w:color w:val="auto"/>
                <w:sz w:val="18"/>
                <w:szCs w:val="18"/>
                <w:lang w:val="en-US"/>
              </w:rPr>
              <w:t>toring and assessment</w:t>
            </w:r>
          </w:p>
        </w:tc>
        <w:tc>
          <w:tcPr>
            <w:tcW w:w="918" w:type="pct"/>
            <w:vMerge/>
            <w:vAlign w:val="center"/>
            <w:hideMark/>
          </w:tcPr>
          <w:p w14:paraId="31C8C214" w14:textId="77777777" w:rsidR="003E7130" w:rsidRPr="008451D3" w:rsidRDefault="003E7130" w:rsidP="00544C45">
            <w:pPr>
              <w:spacing w:after="0"/>
              <w:rPr>
                <w:rFonts w:cs="Arial"/>
                <w:color w:val="auto"/>
                <w:sz w:val="18"/>
                <w:szCs w:val="18"/>
              </w:rPr>
            </w:pPr>
          </w:p>
        </w:tc>
      </w:tr>
      <w:tr w:rsidR="003E7130" w:rsidRPr="008451D3" w14:paraId="31C8C21B" w14:textId="77777777" w:rsidTr="00544C45">
        <w:trPr>
          <w:trHeight w:val="960"/>
          <w:jc w:val="center"/>
        </w:trPr>
        <w:tc>
          <w:tcPr>
            <w:tcW w:w="383" w:type="pct"/>
            <w:vMerge w:val="restart"/>
            <w:shd w:val="clear" w:color="auto" w:fill="auto"/>
            <w:vAlign w:val="center"/>
            <w:hideMark/>
          </w:tcPr>
          <w:p w14:paraId="31C8C216"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B</w:t>
            </w:r>
          </w:p>
        </w:tc>
        <w:tc>
          <w:tcPr>
            <w:tcW w:w="808" w:type="pct"/>
            <w:vMerge w:val="restart"/>
            <w:shd w:val="clear" w:color="auto" w:fill="auto"/>
            <w:vAlign w:val="center"/>
            <w:hideMark/>
          </w:tcPr>
          <w:p w14:paraId="31C8C217"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High value/Moderate Risk</w:t>
            </w:r>
          </w:p>
        </w:tc>
        <w:tc>
          <w:tcPr>
            <w:tcW w:w="1350" w:type="pct"/>
            <w:vMerge w:val="restart"/>
            <w:shd w:val="clear" w:color="auto" w:fill="auto"/>
            <w:hideMark/>
          </w:tcPr>
          <w:p w14:paraId="31C8C218"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Protectio</w:t>
            </w:r>
            <w:r>
              <w:rPr>
                <w:rFonts w:cs="Arial"/>
                <w:color w:val="auto"/>
                <w:sz w:val="18"/>
                <w:szCs w:val="18"/>
                <w:lang w:val="en-US"/>
              </w:rPr>
              <w:t>n measures for aquifer and GDEs</w:t>
            </w:r>
          </w:p>
        </w:tc>
        <w:tc>
          <w:tcPr>
            <w:tcW w:w="1540" w:type="pct"/>
            <w:vMerge w:val="restart"/>
            <w:shd w:val="clear" w:color="auto" w:fill="auto"/>
            <w:hideMark/>
          </w:tcPr>
          <w:p w14:paraId="31C8C219"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Protectio</w:t>
            </w:r>
            <w:r>
              <w:rPr>
                <w:rFonts w:cs="Arial"/>
                <w:color w:val="auto"/>
                <w:sz w:val="18"/>
                <w:szCs w:val="18"/>
                <w:lang w:val="en-US"/>
              </w:rPr>
              <w:t>n measures for aquifer and GDEs</w:t>
            </w:r>
          </w:p>
        </w:tc>
        <w:tc>
          <w:tcPr>
            <w:tcW w:w="918" w:type="pct"/>
            <w:vMerge w:val="restart"/>
            <w:shd w:val="clear" w:color="auto" w:fill="auto"/>
            <w:hideMark/>
          </w:tcPr>
          <w:p w14:paraId="31C8C21A"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Adaptive management. Continue monitoring.</w:t>
            </w:r>
          </w:p>
        </w:tc>
      </w:tr>
      <w:tr w:rsidR="003E7130" w:rsidRPr="008451D3" w14:paraId="31C8C221" w14:textId="77777777" w:rsidTr="00544C45">
        <w:trPr>
          <w:trHeight w:val="300"/>
          <w:jc w:val="center"/>
        </w:trPr>
        <w:tc>
          <w:tcPr>
            <w:tcW w:w="383" w:type="pct"/>
            <w:vMerge/>
            <w:vAlign w:val="center"/>
            <w:hideMark/>
          </w:tcPr>
          <w:p w14:paraId="31C8C21C"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1D"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1E"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1F"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20" w14:textId="77777777" w:rsidR="003E7130" w:rsidRPr="008451D3" w:rsidRDefault="003E7130" w:rsidP="00544C45">
            <w:pPr>
              <w:spacing w:after="0"/>
              <w:rPr>
                <w:rFonts w:cs="Arial"/>
                <w:color w:val="auto"/>
                <w:sz w:val="18"/>
                <w:szCs w:val="18"/>
              </w:rPr>
            </w:pPr>
          </w:p>
        </w:tc>
      </w:tr>
      <w:tr w:rsidR="003E7130" w:rsidRPr="008451D3" w14:paraId="31C8C228" w14:textId="77777777" w:rsidTr="00544C45">
        <w:trPr>
          <w:trHeight w:val="960"/>
          <w:jc w:val="center"/>
        </w:trPr>
        <w:tc>
          <w:tcPr>
            <w:tcW w:w="383" w:type="pct"/>
            <w:vMerge/>
            <w:vAlign w:val="center"/>
            <w:hideMark/>
          </w:tcPr>
          <w:p w14:paraId="31C8C222"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23" w14:textId="77777777" w:rsidR="003E7130" w:rsidRPr="008451D3" w:rsidRDefault="003E7130" w:rsidP="00544C45">
            <w:pPr>
              <w:spacing w:after="0"/>
              <w:rPr>
                <w:rFonts w:cs="Arial"/>
                <w:color w:val="auto"/>
                <w:sz w:val="18"/>
                <w:szCs w:val="18"/>
              </w:rPr>
            </w:pPr>
          </w:p>
        </w:tc>
        <w:tc>
          <w:tcPr>
            <w:tcW w:w="1350" w:type="pct"/>
            <w:shd w:val="clear" w:color="auto" w:fill="auto"/>
            <w:hideMark/>
          </w:tcPr>
          <w:p w14:paraId="31C8C224" w14:textId="77777777" w:rsidR="003E7130" w:rsidRDefault="003E7130" w:rsidP="00544C45">
            <w:pPr>
              <w:spacing w:after="0"/>
              <w:rPr>
                <w:rFonts w:cs="Arial"/>
                <w:color w:val="auto"/>
                <w:sz w:val="18"/>
                <w:szCs w:val="18"/>
                <w:lang w:val="en-US"/>
              </w:rPr>
            </w:pPr>
            <w:r w:rsidRPr="008451D3">
              <w:rPr>
                <w:rFonts w:cs="Arial"/>
                <w:color w:val="auto"/>
                <w:sz w:val="18"/>
                <w:szCs w:val="18"/>
                <w:lang w:val="en-US"/>
              </w:rPr>
              <w:t xml:space="preserve">Baseline </w:t>
            </w:r>
            <w:r w:rsidR="00A16BED">
              <w:rPr>
                <w:rFonts w:cs="Arial"/>
                <w:color w:val="auto"/>
                <w:sz w:val="18"/>
                <w:szCs w:val="18"/>
                <w:lang w:val="en-US"/>
              </w:rPr>
              <w:t>r</w:t>
            </w:r>
            <w:r w:rsidRPr="008451D3">
              <w:rPr>
                <w:rFonts w:cs="Arial"/>
                <w:color w:val="auto"/>
                <w:sz w:val="18"/>
                <w:szCs w:val="18"/>
                <w:lang w:val="en-US"/>
              </w:rPr>
              <w:t>is</w:t>
            </w:r>
            <w:r>
              <w:rPr>
                <w:rFonts w:cs="Arial"/>
                <w:color w:val="auto"/>
                <w:sz w:val="18"/>
                <w:szCs w:val="18"/>
                <w:lang w:val="en-US"/>
              </w:rPr>
              <w:t>k monitoring;</w:t>
            </w:r>
          </w:p>
          <w:p w14:paraId="31C8C225" w14:textId="77777777" w:rsidR="003E7130" w:rsidRPr="008451D3" w:rsidRDefault="003E7130" w:rsidP="00544C45">
            <w:pPr>
              <w:spacing w:after="0"/>
              <w:rPr>
                <w:rFonts w:cs="Arial"/>
                <w:color w:val="auto"/>
                <w:sz w:val="18"/>
                <w:szCs w:val="18"/>
              </w:rPr>
            </w:pPr>
            <w:r>
              <w:rPr>
                <w:rFonts w:cs="Arial"/>
                <w:color w:val="auto"/>
                <w:sz w:val="18"/>
                <w:szCs w:val="18"/>
                <w:lang w:val="en-US"/>
              </w:rPr>
              <w:t>Mitigation action</w:t>
            </w:r>
          </w:p>
        </w:tc>
        <w:tc>
          <w:tcPr>
            <w:tcW w:w="1540" w:type="pct"/>
            <w:shd w:val="clear" w:color="auto" w:fill="auto"/>
            <w:hideMark/>
          </w:tcPr>
          <w:p w14:paraId="31C8C226"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 xml:space="preserve">Monitoring and periodic </w:t>
            </w:r>
            <w:r>
              <w:rPr>
                <w:rFonts w:cs="Arial"/>
                <w:color w:val="auto"/>
                <w:sz w:val="18"/>
                <w:szCs w:val="18"/>
                <w:lang w:val="en-US"/>
              </w:rPr>
              <w:t>assessment of mitigation</w:t>
            </w:r>
          </w:p>
        </w:tc>
        <w:tc>
          <w:tcPr>
            <w:tcW w:w="918" w:type="pct"/>
            <w:vMerge/>
            <w:vAlign w:val="center"/>
            <w:hideMark/>
          </w:tcPr>
          <w:p w14:paraId="31C8C227" w14:textId="77777777" w:rsidR="003E7130" w:rsidRPr="008451D3" w:rsidRDefault="003E7130" w:rsidP="00544C45">
            <w:pPr>
              <w:spacing w:after="0"/>
              <w:rPr>
                <w:rFonts w:cs="Arial"/>
                <w:color w:val="auto"/>
                <w:sz w:val="18"/>
                <w:szCs w:val="18"/>
              </w:rPr>
            </w:pPr>
          </w:p>
        </w:tc>
      </w:tr>
      <w:tr w:rsidR="003E7130" w:rsidRPr="008451D3" w14:paraId="31C8C22E" w14:textId="77777777" w:rsidTr="00544C45">
        <w:trPr>
          <w:trHeight w:val="720"/>
          <w:jc w:val="center"/>
        </w:trPr>
        <w:tc>
          <w:tcPr>
            <w:tcW w:w="383" w:type="pct"/>
            <w:vMerge w:val="restart"/>
            <w:shd w:val="clear" w:color="auto" w:fill="auto"/>
            <w:vAlign w:val="center"/>
            <w:hideMark/>
          </w:tcPr>
          <w:p w14:paraId="31C8C229"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C</w:t>
            </w:r>
          </w:p>
        </w:tc>
        <w:tc>
          <w:tcPr>
            <w:tcW w:w="808" w:type="pct"/>
            <w:vMerge w:val="restart"/>
            <w:shd w:val="clear" w:color="auto" w:fill="auto"/>
            <w:vAlign w:val="center"/>
            <w:hideMark/>
          </w:tcPr>
          <w:p w14:paraId="31C8C22A"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High Value/High Risk</w:t>
            </w:r>
          </w:p>
        </w:tc>
        <w:tc>
          <w:tcPr>
            <w:tcW w:w="1350" w:type="pct"/>
            <w:vMerge w:val="restart"/>
            <w:shd w:val="clear" w:color="auto" w:fill="auto"/>
            <w:hideMark/>
          </w:tcPr>
          <w:p w14:paraId="31C8C22B"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Protectio</w:t>
            </w:r>
            <w:r>
              <w:rPr>
                <w:rFonts w:cs="Arial"/>
                <w:color w:val="auto"/>
                <w:sz w:val="18"/>
                <w:szCs w:val="18"/>
                <w:lang w:val="en-US"/>
              </w:rPr>
              <w:t>n measures for aquifer and GDEs</w:t>
            </w:r>
          </w:p>
        </w:tc>
        <w:tc>
          <w:tcPr>
            <w:tcW w:w="1540" w:type="pct"/>
            <w:vMerge w:val="restart"/>
            <w:shd w:val="clear" w:color="auto" w:fill="auto"/>
            <w:hideMark/>
          </w:tcPr>
          <w:p w14:paraId="31C8C22C"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Protectio</w:t>
            </w:r>
            <w:r>
              <w:rPr>
                <w:rFonts w:cs="Arial"/>
                <w:color w:val="auto"/>
                <w:sz w:val="18"/>
                <w:szCs w:val="18"/>
                <w:lang w:val="en-US"/>
              </w:rPr>
              <w:t>n measures for aquifer and GDEs</w:t>
            </w:r>
          </w:p>
        </w:tc>
        <w:tc>
          <w:tcPr>
            <w:tcW w:w="918" w:type="pct"/>
            <w:vMerge w:val="restart"/>
            <w:shd w:val="clear" w:color="auto" w:fill="auto"/>
            <w:hideMark/>
          </w:tcPr>
          <w:p w14:paraId="31C8C22D"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Adaptive management. Continue monitoring.</w:t>
            </w:r>
          </w:p>
        </w:tc>
      </w:tr>
      <w:tr w:rsidR="003E7130" w:rsidRPr="008451D3" w14:paraId="31C8C234" w14:textId="77777777" w:rsidTr="00544C45">
        <w:trPr>
          <w:trHeight w:val="300"/>
          <w:jc w:val="center"/>
        </w:trPr>
        <w:tc>
          <w:tcPr>
            <w:tcW w:w="383" w:type="pct"/>
            <w:vMerge/>
            <w:vAlign w:val="center"/>
            <w:hideMark/>
          </w:tcPr>
          <w:p w14:paraId="31C8C22F"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30"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31"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32"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33" w14:textId="77777777" w:rsidR="003E7130" w:rsidRPr="008451D3" w:rsidRDefault="003E7130" w:rsidP="00544C45">
            <w:pPr>
              <w:spacing w:after="0"/>
              <w:rPr>
                <w:rFonts w:cs="Arial"/>
                <w:color w:val="auto"/>
                <w:sz w:val="18"/>
                <w:szCs w:val="18"/>
              </w:rPr>
            </w:pPr>
          </w:p>
        </w:tc>
      </w:tr>
      <w:tr w:rsidR="003E7130" w:rsidRPr="008451D3" w14:paraId="31C8C23B" w14:textId="77777777" w:rsidTr="00544C45">
        <w:trPr>
          <w:trHeight w:val="765"/>
          <w:jc w:val="center"/>
        </w:trPr>
        <w:tc>
          <w:tcPr>
            <w:tcW w:w="383" w:type="pct"/>
            <w:vMerge/>
            <w:vAlign w:val="center"/>
            <w:hideMark/>
          </w:tcPr>
          <w:p w14:paraId="31C8C235"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36" w14:textId="77777777" w:rsidR="003E7130" w:rsidRPr="008451D3" w:rsidRDefault="003E7130" w:rsidP="00544C45">
            <w:pPr>
              <w:spacing w:after="0"/>
              <w:rPr>
                <w:rFonts w:cs="Arial"/>
                <w:color w:val="auto"/>
                <w:sz w:val="18"/>
                <w:szCs w:val="18"/>
              </w:rPr>
            </w:pPr>
          </w:p>
        </w:tc>
        <w:tc>
          <w:tcPr>
            <w:tcW w:w="1350" w:type="pct"/>
            <w:vMerge w:val="restart"/>
            <w:shd w:val="clear" w:color="auto" w:fill="auto"/>
            <w:hideMark/>
          </w:tcPr>
          <w:p w14:paraId="31C8C237" w14:textId="77777777" w:rsidR="003E7130" w:rsidRDefault="003E7130" w:rsidP="00544C45">
            <w:pPr>
              <w:spacing w:after="0"/>
              <w:rPr>
                <w:rFonts w:cs="Arial"/>
                <w:color w:val="auto"/>
                <w:sz w:val="18"/>
                <w:szCs w:val="18"/>
                <w:lang w:val="en-US"/>
              </w:rPr>
            </w:pPr>
            <w:r w:rsidRPr="008451D3">
              <w:rPr>
                <w:rFonts w:cs="Arial"/>
                <w:color w:val="auto"/>
                <w:sz w:val="18"/>
                <w:szCs w:val="18"/>
                <w:lang w:val="en-US"/>
              </w:rPr>
              <w:t>Basel</w:t>
            </w:r>
            <w:r>
              <w:rPr>
                <w:rFonts w:cs="Arial"/>
                <w:color w:val="auto"/>
                <w:sz w:val="18"/>
                <w:szCs w:val="18"/>
                <w:lang w:val="en-US"/>
              </w:rPr>
              <w:t xml:space="preserve">ine </w:t>
            </w:r>
            <w:r w:rsidR="00A16BED">
              <w:rPr>
                <w:rFonts w:cs="Arial"/>
                <w:color w:val="auto"/>
                <w:sz w:val="18"/>
                <w:szCs w:val="18"/>
                <w:lang w:val="en-US"/>
              </w:rPr>
              <w:t>r</w:t>
            </w:r>
            <w:r>
              <w:rPr>
                <w:rFonts w:cs="Arial"/>
                <w:color w:val="auto"/>
                <w:sz w:val="18"/>
                <w:szCs w:val="18"/>
                <w:lang w:val="en-US"/>
              </w:rPr>
              <w:t>isk monitoring;</w:t>
            </w:r>
          </w:p>
          <w:p w14:paraId="31C8C238" w14:textId="77777777" w:rsidR="003E7130" w:rsidRPr="008451D3" w:rsidRDefault="003E7130" w:rsidP="00544C45">
            <w:pPr>
              <w:spacing w:after="0"/>
              <w:rPr>
                <w:rFonts w:cs="Arial"/>
                <w:color w:val="auto"/>
                <w:sz w:val="18"/>
                <w:szCs w:val="18"/>
              </w:rPr>
            </w:pPr>
            <w:r>
              <w:rPr>
                <w:rFonts w:cs="Arial"/>
                <w:color w:val="auto"/>
                <w:sz w:val="18"/>
                <w:szCs w:val="18"/>
                <w:lang w:val="en-US"/>
              </w:rPr>
              <w:t>Mitigation</w:t>
            </w:r>
          </w:p>
        </w:tc>
        <w:tc>
          <w:tcPr>
            <w:tcW w:w="1540" w:type="pct"/>
            <w:vMerge w:val="restart"/>
            <w:shd w:val="clear" w:color="auto" w:fill="auto"/>
            <w:hideMark/>
          </w:tcPr>
          <w:p w14:paraId="31C8C239"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Monitoring and annual assessment of mitigation</w:t>
            </w:r>
          </w:p>
        </w:tc>
        <w:tc>
          <w:tcPr>
            <w:tcW w:w="918" w:type="pct"/>
            <w:vMerge/>
            <w:vAlign w:val="center"/>
            <w:hideMark/>
          </w:tcPr>
          <w:p w14:paraId="31C8C23A" w14:textId="77777777" w:rsidR="003E7130" w:rsidRPr="008451D3" w:rsidRDefault="003E7130" w:rsidP="00544C45">
            <w:pPr>
              <w:spacing w:after="0"/>
              <w:rPr>
                <w:rFonts w:cs="Arial"/>
                <w:color w:val="auto"/>
                <w:sz w:val="18"/>
                <w:szCs w:val="18"/>
              </w:rPr>
            </w:pPr>
          </w:p>
        </w:tc>
      </w:tr>
      <w:tr w:rsidR="003E7130" w:rsidRPr="008451D3" w14:paraId="31C8C241" w14:textId="77777777" w:rsidTr="00544C45">
        <w:trPr>
          <w:trHeight w:val="269"/>
          <w:jc w:val="center"/>
        </w:trPr>
        <w:tc>
          <w:tcPr>
            <w:tcW w:w="383" w:type="pct"/>
            <w:vMerge/>
            <w:vAlign w:val="center"/>
            <w:hideMark/>
          </w:tcPr>
          <w:p w14:paraId="31C8C23C"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3D"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3E"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3F"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40" w14:textId="77777777" w:rsidR="003E7130" w:rsidRPr="008451D3" w:rsidRDefault="003E7130" w:rsidP="00544C45">
            <w:pPr>
              <w:spacing w:after="0"/>
              <w:rPr>
                <w:rFonts w:cs="Arial"/>
                <w:color w:val="auto"/>
                <w:sz w:val="18"/>
                <w:szCs w:val="18"/>
              </w:rPr>
            </w:pPr>
          </w:p>
        </w:tc>
      </w:tr>
      <w:tr w:rsidR="003E7130" w:rsidRPr="008451D3" w14:paraId="31C8C247" w14:textId="77777777" w:rsidTr="00544C45">
        <w:trPr>
          <w:trHeight w:val="480"/>
          <w:jc w:val="center"/>
        </w:trPr>
        <w:tc>
          <w:tcPr>
            <w:tcW w:w="383" w:type="pct"/>
            <w:vMerge w:val="restart"/>
            <w:shd w:val="clear" w:color="auto" w:fill="auto"/>
            <w:vAlign w:val="center"/>
            <w:hideMark/>
          </w:tcPr>
          <w:p w14:paraId="31C8C242"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D</w:t>
            </w:r>
          </w:p>
        </w:tc>
        <w:tc>
          <w:tcPr>
            <w:tcW w:w="808" w:type="pct"/>
            <w:vMerge w:val="restart"/>
            <w:shd w:val="clear" w:color="auto" w:fill="auto"/>
            <w:vAlign w:val="center"/>
            <w:hideMark/>
          </w:tcPr>
          <w:p w14:paraId="31C8C243"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Moderate Value/Low Risk</w:t>
            </w:r>
          </w:p>
        </w:tc>
        <w:tc>
          <w:tcPr>
            <w:tcW w:w="1350" w:type="pct"/>
            <w:shd w:val="clear" w:color="auto" w:fill="auto"/>
            <w:hideMark/>
          </w:tcPr>
          <w:p w14:paraId="31C8C244" w14:textId="77777777" w:rsidR="003E7130" w:rsidRPr="008451D3" w:rsidRDefault="003E7130" w:rsidP="00544C45">
            <w:pPr>
              <w:spacing w:after="0"/>
              <w:rPr>
                <w:rFonts w:cs="Arial"/>
                <w:color w:val="auto"/>
                <w:sz w:val="18"/>
                <w:szCs w:val="18"/>
              </w:rPr>
            </w:pPr>
            <w:r>
              <w:rPr>
                <w:rFonts w:cs="Arial"/>
                <w:color w:val="auto"/>
                <w:sz w:val="18"/>
                <w:szCs w:val="18"/>
                <w:lang w:val="en-US"/>
              </w:rPr>
              <w:t>Protection of hotspots</w:t>
            </w:r>
          </w:p>
        </w:tc>
        <w:tc>
          <w:tcPr>
            <w:tcW w:w="1540" w:type="pct"/>
            <w:shd w:val="clear" w:color="auto" w:fill="auto"/>
            <w:hideMark/>
          </w:tcPr>
          <w:p w14:paraId="31C8C245" w14:textId="77777777" w:rsidR="003E7130" w:rsidRPr="008451D3" w:rsidRDefault="003E7130" w:rsidP="00544C45">
            <w:pPr>
              <w:spacing w:after="0"/>
              <w:rPr>
                <w:rFonts w:cs="Arial"/>
                <w:color w:val="auto"/>
                <w:sz w:val="18"/>
                <w:szCs w:val="18"/>
              </w:rPr>
            </w:pPr>
            <w:r>
              <w:rPr>
                <w:rFonts w:cs="Arial"/>
                <w:color w:val="auto"/>
                <w:sz w:val="18"/>
                <w:szCs w:val="18"/>
                <w:lang w:val="en-US"/>
              </w:rPr>
              <w:t>Protection of hotspots</w:t>
            </w:r>
          </w:p>
        </w:tc>
        <w:tc>
          <w:tcPr>
            <w:tcW w:w="918" w:type="pct"/>
            <w:vMerge w:val="restart"/>
            <w:shd w:val="clear" w:color="auto" w:fill="auto"/>
            <w:hideMark/>
          </w:tcPr>
          <w:p w14:paraId="31C8C246"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Adaptive management. Continue monitoring.</w:t>
            </w:r>
          </w:p>
        </w:tc>
      </w:tr>
      <w:tr w:rsidR="003E7130" w:rsidRPr="008451D3" w14:paraId="31C8C24D" w14:textId="77777777" w:rsidTr="00544C45">
        <w:trPr>
          <w:trHeight w:val="480"/>
          <w:jc w:val="center"/>
        </w:trPr>
        <w:tc>
          <w:tcPr>
            <w:tcW w:w="383" w:type="pct"/>
            <w:vMerge/>
            <w:vAlign w:val="center"/>
            <w:hideMark/>
          </w:tcPr>
          <w:p w14:paraId="31C8C248"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49" w14:textId="77777777" w:rsidR="003E7130" w:rsidRPr="008451D3" w:rsidRDefault="003E7130" w:rsidP="00544C45">
            <w:pPr>
              <w:spacing w:after="0"/>
              <w:rPr>
                <w:rFonts w:cs="Arial"/>
                <w:color w:val="auto"/>
                <w:sz w:val="18"/>
                <w:szCs w:val="18"/>
              </w:rPr>
            </w:pPr>
          </w:p>
        </w:tc>
        <w:tc>
          <w:tcPr>
            <w:tcW w:w="1350" w:type="pct"/>
            <w:shd w:val="clear" w:color="auto" w:fill="auto"/>
            <w:hideMark/>
          </w:tcPr>
          <w:p w14:paraId="31C8C24A" w14:textId="77777777" w:rsidR="003E7130" w:rsidRPr="008451D3" w:rsidRDefault="003E7130" w:rsidP="00544C45">
            <w:pPr>
              <w:spacing w:after="0"/>
              <w:rPr>
                <w:rFonts w:cs="Arial"/>
                <w:color w:val="auto"/>
                <w:sz w:val="18"/>
                <w:szCs w:val="18"/>
              </w:rPr>
            </w:pPr>
            <w:r>
              <w:rPr>
                <w:rFonts w:cs="Arial"/>
                <w:color w:val="auto"/>
                <w:sz w:val="18"/>
                <w:szCs w:val="18"/>
                <w:lang w:val="en-US"/>
              </w:rPr>
              <w:t xml:space="preserve">Baseline </w:t>
            </w:r>
            <w:r w:rsidR="00A16BED">
              <w:rPr>
                <w:rFonts w:cs="Arial"/>
                <w:color w:val="auto"/>
                <w:sz w:val="18"/>
                <w:szCs w:val="18"/>
                <w:lang w:val="en-US"/>
              </w:rPr>
              <w:t>r</w:t>
            </w:r>
            <w:r>
              <w:rPr>
                <w:rFonts w:cs="Arial"/>
                <w:color w:val="auto"/>
                <w:sz w:val="18"/>
                <w:szCs w:val="18"/>
                <w:lang w:val="en-US"/>
              </w:rPr>
              <w:t>isk monitoring</w:t>
            </w:r>
          </w:p>
        </w:tc>
        <w:tc>
          <w:tcPr>
            <w:tcW w:w="1540" w:type="pct"/>
            <w:shd w:val="clear" w:color="auto" w:fill="auto"/>
            <w:hideMark/>
          </w:tcPr>
          <w:p w14:paraId="31C8C24B" w14:textId="77777777" w:rsidR="003E7130" w:rsidRPr="008451D3" w:rsidRDefault="003E7130" w:rsidP="00544C45">
            <w:pPr>
              <w:spacing w:after="0"/>
              <w:rPr>
                <w:rFonts w:cs="Arial"/>
                <w:color w:val="auto"/>
                <w:sz w:val="18"/>
                <w:szCs w:val="18"/>
              </w:rPr>
            </w:pPr>
            <w:r>
              <w:rPr>
                <w:rFonts w:cs="Arial"/>
                <w:color w:val="auto"/>
                <w:sz w:val="18"/>
                <w:szCs w:val="18"/>
                <w:lang w:val="en-US"/>
              </w:rPr>
              <w:t xml:space="preserve">Baseline </w:t>
            </w:r>
            <w:r w:rsidR="00A16BED">
              <w:rPr>
                <w:rFonts w:cs="Arial"/>
                <w:color w:val="auto"/>
                <w:sz w:val="18"/>
                <w:szCs w:val="18"/>
                <w:lang w:val="en-US"/>
              </w:rPr>
              <w:t>r</w:t>
            </w:r>
            <w:r>
              <w:rPr>
                <w:rFonts w:cs="Arial"/>
                <w:color w:val="auto"/>
                <w:sz w:val="18"/>
                <w:szCs w:val="18"/>
                <w:lang w:val="en-US"/>
              </w:rPr>
              <w:t>isk monitoring</w:t>
            </w:r>
          </w:p>
        </w:tc>
        <w:tc>
          <w:tcPr>
            <w:tcW w:w="918" w:type="pct"/>
            <w:vMerge/>
            <w:vAlign w:val="center"/>
            <w:hideMark/>
          </w:tcPr>
          <w:p w14:paraId="31C8C24C" w14:textId="77777777" w:rsidR="003E7130" w:rsidRPr="008451D3" w:rsidRDefault="003E7130" w:rsidP="00544C45">
            <w:pPr>
              <w:spacing w:after="0"/>
              <w:rPr>
                <w:rFonts w:cs="Arial"/>
                <w:color w:val="auto"/>
                <w:sz w:val="18"/>
                <w:szCs w:val="18"/>
              </w:rPr>
            </w:pPr>
          </w:p>
        </w:tc>
      </w:tr>
      <w:tr w:rsidR="003E7130" w:rsidRPr="008451D3" w14:paraId="31C8C253" w14:textId="77777777" w:rsidTr="00544C45">
        <w:trPr>
          <w:trHeight w:val="585"/>
          <w:jc w:val="center"/>
        </w:trPr>
        <w:tc>
          <w:tcPr>
            <w:tcW w:w="383" w:type="pct"/>
            <w:vMerge w:val="restart"/>
            <w:shd w:val="clear" w:color="auto" w:fill="auto"/>
            <w:vAlign w:val="center"/>
            <w:hideMark/>
          </w:tcPr>
          <w:p w14:paraId="31C8C24E"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E</w:t>
            </w:r>
          </w:p>
        </w:tc>
        <w:tc>
          <w:tcPr>
            <w:tcW w:w="808" w:type="pct"/>
            <w:vMerge w:val="restart"/>
            <w:shd w:val="clear" w:color="auto" w:fill="auto"/>
            <w:vAlign w:val="center"/>
            <w:hideMark/>
          </w:tcPr>
          <w:p w14:paraId="31C8C24F"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Moderate Value/Moderate Risk</w:t>
            </w:r>
          </w:p>
        </w:tc>
        <w:tc>
          <w:tcPr>
            <w:tcW w:w="1350" w:type="pct"/>
            <w:shd w:val="clear" w:color="auto" w:fill="auto"/>
            <w:hideMark/>
          </w:tcPr>
          <w:p w14:paraId="31C8C250" w14:textId="77777777" w:rsidR="003E7130" w:rsidRPr="008451D3" w:rsidRDefault="003E7130" w:rsidP="00544C45">
            <w:pPr>
              <w:spacing w:after="0"/>
              <w:rPr>
                <w:rFonts w:cs="Arial"/>
                <w:color w:val="auto"/>
                <w:sz w:val="18"/>
                <w:szCs w:val="18"/>
              </w:rPr>
            </w:pPr>
            <w:r>
              <w:rPr>
                <w:rFonts w:cs="Arial"/>
                <w:color w:val="auto"/>
                <w:sz w:val="18"/>
                <w:szCs w:val="18"/>
                <w:lang w:val="en-US"/>
              </w:rPr>
              <w:t>Protection of hotspots</w:t>
            </w:r>
          </w:p>
        </w:tc>
        <w:tc>
          <w:tcPr>
            <w:tcW w:w="1540" w:type="pct"/>
            <w:shd w:val="clear" w:color="auto" w:fill="auto"/>
            <w:hideMark/>
          </w:tcPr>
          <w:p w14:paraId="31C8C251"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Prote</w:t>
            </w:r>
            <w:r>
              <w:rPr>
                <w:rFonts w:cs="Arial"/>
                <w:color w:val="auto"/>
                <w:sz w:val="18"/>
                <w:szCs w:val="18"/>
                <w:lang w:val="en-US"/>
              </w:rPr>
              <w:t>ction of hotspots</w:t>
            </w:r>
          </w:p>
        </w:tc>
        <w:tc>
          <w:tcPr>
            <w:tcW w:w="918" w:type="pct"/>
            <w:vMerge w:val="restart"/>
            <w:shd w:val="clear" w:color="auto" w:fill="auto"/>
            <w:hideMark/>
          </w:tcPr>
          <w:p w14:paraId="31C8C252"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Adaptive management. Continue monitoring.</w:t>
            </w:r>
          </w:p>
        </w:tc>
      </w:tr>
      <w:tr w:rsidR="003E7130" w:rsidRPr="008451D3" w14:paraId="31C8C259" w14:textId="77777777" w:rsidTr="00544C45">
        <w:trPr>
          <w:trHeight w:val="300"/>
          <w:jc w:val="center"/>
        </w:trPr>
        <w:tc>
          <w:tcPr>
            <w:tcW w:w="383" w:type="pct"/>
            <w:vMerge/>
            <w:vAlign w:val="center"/>
            <w:hideMark/>
          </w:tcPr>
          <w:p w14:paraId="31C8C254"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55" w14:textId="77777777" w:rsidR="003E7130" w:rsidRPr="008451D3" w:rsidRDefault="003E7130" w:rsidP="00544C45">
            <w:pPr>
              <w:spacing w:after="0"/>
              <w:rPr>
                <w:rFonts w:cs="Arial"/>
                <w:color w:val="auto"/>
                <w:sz w:val="18"/>
                <w:szCs w:val="18"/>
              </w:rPr>
            </w:pPr>
          </w:p>
        </w:tc>
        <w:tc>
          <w:tcPr>
            <w:tcW w:w="1350" w:type="pct"/>
            <w:vMerge w:val="restart"/>
            <w:shd w:val="clear" w:color="auto" w:fill="auto"/>
            <w:hideMark/>
          </w:tcPr>
          <w:p w14:paraId="31C8C256" w14:textId="77777777" w:rsidR="003E7130" w:rsidRPr="008451D3" w:rsidRDefault="003E7130" w:rsidP="00544C45">
            <w:pPr>
              <w:spacing w:after="0"/>
              <w:rPr>
                <w:rFonts w:cs="Arial"/>
                <w:color w:val="auto"/>
                <w:sz w:val="18"/>
                <w:szCs w:val="18"/>
              </w:rPr>
            </w:pPr>
            <w:r>
              <w:rPr>
                <w:rFonts w:cs="Arial"/>
                <w:color w:val="auto"/>
                <w:sz w:val="18"/>
                <w:szCs w:val="18"/>
                <w:lang w:val="en-US"/>
              </w:rPr>
              <w:t>Baseline risk monitoring</w:t>
            </w:r>
          </w:p>
        </w:tc>
        <w:tc>
          <w:tcPr>
            <w:tcW w:w="1540" w:type="pct"/>
            <w:vMerge w:val="restart"/>
            <w:shd w:val="clear" w:color="auto" w:fill="auto"/>
            <w:hideMark/>
          </w:tcPr>
          <w:p w14:paraId="31C8C257"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Monitoring and pe</w:t>
            </w:r>
            <w:r>
              <w:rPr>
                <w:rFonts w:cs="Arial"/>
                <w:color w:val="auto"/>
                <w:sz w:val="18"/>
                <w:szCs w:val="18"/>
                <w:lang w:val="en-US"/>
              </w:rPr>
              <w:t>riodic assessment of mitigation</w:t>
            </w:r>
          </w:p>
        </w:tc>
        <w:tc>
          <w:tcPr>
            <w:tcW w:w="918" w:type="pct"/>
            <w:vMerge/>
            <w:vAlign w:val="center"/>
            <w:hideMark/>
          </w:tcPr>
          <w:p w14:paraId="31C8C258" w14:textId="77777777" w:rsidR="003E7130" w:rsidRPr="008451D3" w:rsidRDefault="003E7130" w:rsidP="00544C45">
            <w:pPr>
              <w:spacing w:after="0"/>
              <w:rPr>
                <w:rFonts w:cs="Arial"/>
                <w:color w:val="auto"/>
                <w:sz w:val="18"/>
                <w:szCs w:val="18"/>
              </w:rPr>
            </w:pPr>
          </w:p>
        </w:tc>
      </w:tr>
      <w:tr w:rsidR="003E7130" w:rsidRPr="008451D3" w14:paraId="31C8C25F" w14:textId="77777777" w:rsidTr="00544C45">
        <w:trPr>
          <w:trHeight w:val="675"/>
          <w:jc w:val="center"/>
        </w:trPr>
        <w:tc>
          <w:tcPr>
            <w:tcW w:w="383" w:type="pct"/>
            <w:vMerge/>
            <w:vAlign w:val="center"/>
            <w:hideMark/>
          </w:tcPr>
          <w:p w14:paraId="31C8C25A"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5B"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5C"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5D"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5E" w14:textId="77777777" w:rsidR="003E7130" w:rsidRPr="008451D3" w:rsidRDefault="003E7130" w:rsidP="00544C45">
            <w:pPr>
              <w:spacing w:after="0"/>
              <w:rPr>
                <w:rFonts w:cs="Arial"/>
                <w:color w:val="auto"/>
                <w:sz w:val="18"/>
                <w:szCs w:val="18"/>
              </w:rPr>
            </w:pPr>
          </w:p>
        </w:tc>
      </w:tr>
      <w:tr w:rsidR="003E7130" w:rsidRPr="008451D3" w14:paraId="31C8C265" w14:textId="77777777" w:rsidTr="00544C45">
        <w:trPr>
          <w:trHeight w:val="300"/>
          <w:jc w:val="center"/>
        </w:trPr>
        <w:tc>
          <w:tcPr>
            <w:tcW w:w="383" w:type="pct"/>
            <w:vMerge/>
            <w:vAlign w:val="center"/>
            <w:hideMark/>
          </w:tcPr>
          <w:p w14:paraId="31C8C260"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61" w14:textId="77777777" w:rsidR="003E7130" w:rsidRPr="008451D3" w:rsidRDefault="003E7130" w:rsidP="00544C45">
            <w:pPr>
              <w:spacing w:after="0"/>
              <w:rPr>
                <w:rFonts w:cs="Arial"/>
                <w:color w:val="auto"/>
                <w:sz w:val="18"/>
                <w:szCs w:val="18"/>
              </w:rPr>
            </w:pPr>
          </w:p>
        </w:tc>
        <w:tc>
          <w:tcPr>
            <w:tcW w:w="1350" w:type="pct"/>
            <w:shd w:val="clear" w:color="auto" w:fill="auto"/>
            <w:hideMark/>
          </w:tcPr>
          <w:p w14:paraId="31C8C262" w14:textId="77777777" w:rsidR="003E7130" w:rsidRPr="008451D3" w:rsidRDefault="003E7130" w:rsidP="00544C45">
            <w:pPr>
              <w:spacing w:after="0"/>
              <w:rPr>
                <w:rFonts w:cs="Arial"/>
                <w:color w:val="auto"/>
                <w:sz w:val="18"/>
                <w:szCs w:val="18"/>
              </w:rPr>
            </w:pPr>
            <w:r>
              <w:rPr>
                <w:rFonts w:cs="Arial"/>
                <w:color w:val="auto"/>
                <w:sz w:val="18"/>
                <w:szCs w:val="18"/>
                <w:lang w:val="en-US"/>
              </w:rPr>
              <w:t>Mitigation action</w:t>
            </w:r>
          </w:p>
        </w:tc>
        <w:tc>
          <w:tcPr>
            <w:tcW w:w="1540" w:type="pct"/>
            <w:shd w:val="clear" w:color="auto" w:fill="auto"/>
            <w:hideMark/>
          </w:tcPr>
          <w:p w14:paraId="31C8C263" w14:textId="77777777" w:rsidR="003E7130" w:rsidRPr="008451D3" w:rsidRDefault="003E7130" w:rsidP="00544C45">
            <w:pPr>
              <w:spacing w:after="0"/>
              <w:rPr>
                <w:rFonts w:cs="Arial"/>
                <w:color w:val="auto"/>
              </w:rPr>
            </w:pPr>
            <w:r w:rsidRPr="008451D3">
              <w:rPr>
                <w:rFonts w:cs="Arial"/>
                <w:color w:val="auto"/>
                <w:lang w:val="en-US"/>
              </w:rPr>
              <w:t> </w:t>
            </w:r>
          </w:p>
        </w:tc>
        <w:tc>
          <w:tcPr>
            <w:tcW w:w="918" w:type="pct"/>
            <w:vMerge/>
            <w:vAlign w:val="center"/>
            <w:hideMark/>
          </w:tcPr>
          <w:p w14:paraId="31C8C264" w14:textId="77777777" w:rsidR="003E7130" w:rsidRPr="008451D3" w:rsidRDefault="003E7130" w:rsidP="00544C45">
            <w:pPr>
              <w:spacing w:after="0"/>
              <w:rPr>
                <w:rFonts w:cs="Arial"/>
                <w:color w:val="auto"/>
                <w:sz w:val="18"/>
                <w:szCs w:val="18"/>
              </w:rPr>
            </w:pPr>
          </w:p>
        </w:tc>
      </w:tr>
      <w:tr w:rsidR="003E7130" w:rsidRPr="008451D3" w14:paraId="31C8C26C" w14:textId="77777777" w:rsidTr="00544C45">
        <w:trPr>
          <w:trHeight w:val="570"/>
          <w:jc w:val="center"/>
        </w:trPr>
        <w:tc>
          <w:tcPr>
            <w:tcW w:w="383" w:type="pct"/>
            <w:vMerge w:val="restart"/>
            <w:shd w:val="clear" w:color="auto" w:fill="auto"/>
            <w:vAlign w:val="center"/>
            <w:hideMark/>
          </w:tcPr>
          <w:p w14:paraId="31C8C266"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F</w:t>
            </w:r>
          </w:p>
        </w:tc>
        <w:tc>
          <w:tcPr>
            <w:tcW w:w="808" w:type="pct"/>
            <w:vMerge w:val="restart"/>
            <w:shd w:val="clear" w:color="auto" w:fill="auto"/>
            <w:vAlign w:val="center"/>
            <w:hideMark/>
          </w:tcPr>
          <w:p w14:paraId="31C8C267"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Moderate Value/High Risk</w:t>
            </w:r>
          </w:p>
        </w:tc>
        <w:tc>
          <w:tcPr>
            <w:tcW w:w="1350" w:type="pct"/>
            <w:vMerge w:val="restart"/>
            <w:shd w:val="clear" w:color="auto" w:fill="auto"/>
            <w:hideMark/>
          </w:tcPr>
          <w:p w14:paraId="31C8C268" w14:textId="77777777" w:rsidR="003E7130" w:rsidRPr="008451D3" w:rsidRDefault="003E7130" w:rsidP="00544C45">
            <w:pPr>
              <w:spacing w:after="0"/>
              <w:rPr>
                <w:rFonts w:cs="Arial"/>
                <w:color w:val="auto"/>
                <w:sz w:val="18"/>
                <w:szCs w:val="18"/>
              </w:rPr>
            </w:pPr>
            <w:r>
              <w:rPr>
                <w:rFonts w:cs="Arial"/>
                <w:color w:val="auto"/>
                <w:sz w:val="18"/>
                <w:szCs w:val="18"/>
                <w:lang w:val="en-US"/>
              </w:rPr>
              <w:t>Protection of hotspots</w:t>
            </w:r>
          </w:p>
        </w:tc>
        <w:tc>
          <w:tcPr>
            <w:tcW w:w="1540" w:type="pct"/>
            <w:vMerge w:val="restart"/>
            <w:shd w:val="clear" w:color="auto" w:fill="auto"/>
            <w:hideMark/>
          </w:tcPr>
          <w:p w14:paraId="31C8C269" w14:textId="77777777" w:rsidR="003E7130" w:rsidRPr="008451D3" w:rsidRDefault="003E7130" w:rsidP="00544C45">
            <w:pPr>
              <w:spacing w:after="0"/>
              <w:rPr>
                <w:rFonts w:cs="Arial"/>
                <w:color w:val="auto"/>
                <w:sz w:val="18"/>
                <w:szCs w:val="18"/>
              </w:rPr>
            </w:pPr>
            <w:r>
              <w:rPr>
                <w:rFonts w:cs="Arial"/>
                <w:color w:val="auto"/>
                <w:sz w:val="18"/>
                <w:szCs w:val="18"/>
                <w:lang w:val="en-US"/>
              </w:rPr>
              <w:t>Protection of hotspots</w:t>
            </w:r>
          </w:p>
        </w:tc>
        <w:tc>
          <w:tcPr>
            <w:tcW w:w="918" w:type="pct"/>
            <w:vMerge w:val="restart"/>
            <w:shd w:val="clear" w:color="auto" w:fill="auto"/>
            <w:hideMark/>
          </w:tcPr>
          <w:p w14:paraId="31C8C26A" w14:textId="77777777" w:rsidR="003E7130" w:rsidRDefault="003E7130" w:rsidP="00544C45">
            <w:pPr>
              <w:spacing w:after="0"/>
              <w:rPr>
                <w:rFonts w:cs="Arial"/>
                <w:color w:val="auto"/>
                <w:sz w:val="18"/>
                <w:szCs w:val="18"/>
                <w:lang w:val="en-US"/>
              </w:rPr>
            </w:pPr>
            <w:r w:rsidRPr="008451D3">
              <w:rPr>
                <w:rFonts w:cs="Arial"/>
                <w:color w:val="auto"/>
                <w:sz w:val="18"/>
                <w:szCs w:val="18"/>
                <w:lang w:val="en-US"/>
              </w:rPr>
              <w:t>Adaptive</w:t>
            </w:r>
            <w:r>
              <w:rPr>
                <w:rFonts w:cs="Arial"/>
                <w:color w:val="auto"/>
                <w:sz w:val="18"/>
                <w:szCs w:val="18"/>
                <w:lang w:val="en-US"/>
              </w:rPr>
              <w:t xml:space="preserve"> management;</w:t>
            </w:r>
          </w:p>
          <w:p w14:paraId="31C8C26B" w14:textId="77777777" w:rsidR="003E7130" w:rsidRPr="008451D3" w:rsidRDefault="003E7130" w:rsidP="00544C45">
            <w:pPr>
              <w:spacing w:after="0"/>
              <w:rPr>
                <w:rFonts w:cs="Arial"/>
                <w:color w:val="auto"/>
                <w:sz w:val="18"/>
                <w:szCs w:val="18"/>
              </w:rPr>
            </w:pPr>
            <w:r>
              <w:rPr>
                <w:rFonts w:cs="Arial"/>
                <w:color w:val="auto"/>
                <w:sz w:val="18"/>
                <w:szCs w:val="18"/>
                <w:lang w:val="en-US"/>
              </w:rPr>
              <w:t>Continue monitoring</w:t>
            </w:r>
          </w:p>
        </w:tc>
      </w:tr>
      <w:tr w:rsidR="003E7130" w:rsidRPr="008451D3" w14:paraId="31C8C272" w14:textId="77777777" w:rsidTr="00544C45">
        <w:trPr>
          <w:trHeight w:val="269"/>
          <w:jc w:val="center"/>
        </w:trPr>
        <w:tc>
          <w:tcPr>
            <w:tcW w:w="383" w:type="pct"/>
            <w:vMerge/>
            <w:vAlign w:val="center"/>
            <w:hideMark/>
          </w:tcPr>
          <w:p w14:paraId="31C8C26D"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6E"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6F"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70"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71" w14:textId="77777777" w:rsidR="003E7130" w:rsidRPr="008451D3" w:rsidRDefault="003E7130" w:rsidP="00544C45">
            <w:pPr>
              <w:spacing w:after="0"/>
              <w:rPr>
                <w:rFonts w:cs="Arial"/>
                <w:color w:val="auto"/>
                <w:sz w:val="18"/>
                <w:szCs w:val="18"/>
              </w:rPr>
            </w:pPr>
          </w:p>
        </w:tc>
      </w:tr>
      <w:tr w:rsidR="003E7130" w:rsidRPr="008451D3" w14:paraId="31C8C279" w14:textId="77777777" w:rsidTr="00544C45">
        <w:trPr>
          <w:trHeight w:val="735"/>
          <w:jc w:val="center"/>
        </w:trPr>
        <w:tc>
          <w:tcPr>
            <w:tcW w:w="383" w:type="pct"/>
            <w:vMerge/>
            <w:vAlign w:val="center"/>
            <w:hideMark/>
          </w:tcPr>
          <w:p w14:paraId="31C8C273"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74" w14:textId="77777777" w:rsidR="003E7130" w:rsidRPr="008451D3" w:rsidRDefault="003E7130" w:rsidP="00544C45">
            <w:pPr>
              <w:spacing w:after="0"/>
              <w:rPr>
                <w:rFonts w:cs="Arial"/>
                <w:color w:val="auto"/>
                <w:sz w:val="18"/>
                <w:szCs w:val="18"/>
              </w:rPr>
            </w:pPr>
          </w:p>
        </w:tc>
        <w:tc>
          <w:tcPr>
            <w:tcW w:w="1350" w:type="pct"/>
            <w:vMerge w:val="restart"/>
            <w:shd w:val="clear" w:color="auto" w:fill="auto"/>
            <w:hideMark/>
          </w:tcPr>
          <w:p w14:paraId="31C8C275" w14:textId="77777777" w:rsidR="003E7130" w:rsidRDefault="003E7130" w:rsidP="00544C45">
            <w:pPr>
              <w:spacing w:after="0"/>
              <w:rPr>
                <w:rFonts w:cs="Arial"/>
                <w:color w:val="auto"/>
                <w:sz w:val="18"/>
                <w:szCs w:val="18"/>
                <w:lang w:val="en-US"/>
              </w:rPr>
            </w:pPr>
            <w:r w:rsidRPr="008451D3">
              <w:rPr>
                <w:rFonts w:cs="Arial"/>
                <w:color w:val="auto"/>
                <w:sz w:val="18"/>
                <w:szCs w:val="18"/>
                <w:lang w:val="en-US"/>
              </w:rPr>
              <w:t>Baseline ris</w:t>
            </w:r>
            <w:r>
              <w:rPr>
                <w:rFonts w:cs="Arial"/>
                <w:color w:val="auto"/>
                <w:sz w:val="18"/>
                <w:szCs w:val="18"/>
                <w:lang w:val="en-US"/>
              </w:rPr>
              <w:t>k monitoring;</w:t>
            </w:r>
          </w:p>
          <w:p w14:paraId="31C8C276" w14:textId="77777777" w:rsidR="003E7130" w:rsidRPr="008451D3" w:rsidRDefault="003E7130" w:rsidP="00544C45">
            <w:pPr>
              <w:spacing w:after="0"/>
              <w:rPr>
                <w:rFonts w:cs="Arial"/>
                <w:color w:val="auto"/>
                <w:sz w:val="18"/>
                <w:szCs w:val="18"/>
              </w:rPr>
            </w:pPr>
            <w:r>
              <w:rPr>
                <w:rFonts w:cs="Arial"/>
                <w:color w:val="auto"/>
                <w:sz w:val="18"/>
                <w:szCs w:val="18"/>
                <w:lang w:val="en-US"/>
              </w:rPr>
              <w:t>Mitigation action</w:t>
            </w:r>
          </w:p>
        </w:tc>
        <w:tc>
          <w:tcPr>
            <w:tcW w:w="1540" w:type="pct"/>
            <w:vMerge w:val="restart"/>
            <w:shd w:val="clear" w:color="auto" w:fill="auto"/>
            <w:hideMark/>
          </w:tcPr>
          <w:p w14:paraId="31C8C277"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 xml:space="preserve">Monitoring and </w:t>
            </w:r>
            <w:r>
              <w:rPr>
                <w:rFonts w:cs="Arial"/>
                <w:color w:val="auto"/>
                <w:sz w:val="18"/>
                <w:szCs w:val="18"/>
                <w:lang w:val="en-US"/>
              </w:rPr>
              <w:t>annual assessment of mitigation</w:t>
            </w:r>
          </w:p>
        </w:tc>
        <w:tc>
          <w:tcPr>
            <w:tcW w:w="918" w:type="pct"/>
            <w:vMerge/>
            <w:vAlign w:val="center"/>
            <w:hideMark/>
          </w:tcPr>
          <w:p w14:paraId="31C8C278" w14:textId="77777777" w:rsidR="003E7130" w:rsidRPr="008451D3" w:rsidRDefault="003E7130" w:rsidP="00544C45">
            <w:pPr>
              <w:spacing w:after="0"/>
              <w:rPr>
                <w:rFonts w:cs="Arial"/>
                <w:color w:val="auto"/>
                <w:sz w:val="18"/>
                <w:szCs w:val="18"/>
              </w:rPr>
            </w:pPr>
          </w:p>
        </w:tc>
      </w:tr>
      <w:tr w:rsidR="003E7130" w:rsidRPr="008451D3" w14:paraId="31C8C27F" w14:textId="77777777" w:rsidTr="00544C45">
        <w:trPr>
          <w:trHeight w:val="300"/>
          <w:jc w:val="center"/>
        </w:trPr>
        <w:tc>
          <w:tcPr>
            <w:tcW w:w="383" w:type="pct"/>
            <w:vMerge/>
            <w:vAlign w:val="center"/>
            <w:hideMark/>
          </w:tcPr>
          <w:p w14:paraId="31C8C27A"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7B"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7C"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7D"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7E" w14:textId="77777777" w:rsidR="003E7130" w:rsidRPr="008451D3" w:rsidRDefault="003E7130" w:rsidP="00544C45">
            <w:pPr>
              <w:spacing w:after="0"/>
              <w:rPr>
                <w:rFonts w:cs="Arial"/>
                <w:color w:val="auto"/>
                <w:sz w:val="18"/>
                <w:szCs w:val="18"/>
              </w:rPr>
            </w:pPr>
          </w:p>
        </w:tc>
      </w:tr>
      <w:tr w:rsidR="003E7130" w:rsidRPr="008451D3" w14:paraId="31C8C285" w14:textId="77777777" w:rsidTr="00544C45">
        <w:trPr>
          <w:trHeight w:val="480"/>
          <w:jc w:val="center"/>
        </w:trPr>
        <w:tc>
          <w:tcPr>
            <w:tcW w:w="383" w:type="pct"/>
            <w:vMerge w:val="restart"/>
            <w:shd w:val="clear" w:color="auto" w:fill="auto"/>
            <w:vAlign w:val="center"/>
            <w:hideMark/>
          </w:tcPr>
          <w:p w14:paraId="31C8C280"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G</w:t>
            </w:r>
          </w:p>
        </w:tc>
        <w:tc>
          <w:tcPr>
            <w:tcW w:w="808" w:type="pct"/>
            <w:vMerge w:val="restart"/>
            <w:shd w:val="clear" w:color="auto" w:fill="auto"/>
            <w:vAlign w:val="center"/>
            <w:hideMark/>
          </w:tcPr>
          <w:p w14:paraId="31C8C281"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Low value/Low risk</w:t>
            </w:r>
          </w:p>
        </w:tc>
        <w:tc>
          <w:tcPr>
            <w:tcW w:w="1350" w:type="pct"/>
            <w:shd w:val="clear" w:color="auto" w:fill="auto"/>
            <w:hideMark/>
          </w:tcPr>
          <w:p w14:paraId="31C8C282" w14:textId="77777777" w:rsidR="003E7130" w:rsidRPr="008451D3" w:rsidRDefault="003E7130" w:rsidP="00544C45">
            <w:pPr>
              <w:spacing w:after="0"/>
              <w:rPr>
                <w:rFonts w:cs="Arial"/>
                <w:color w:val="auto"/>
                <w:sz w:val="18"/>
                <w:szCs w:val="18"/>
              </w:rPr>
            </w:pPr>
            <w:r>
              <w:rPr>
                <w:rFonts w:cs="Arial"/>
                <w:color w:val="auto"/>
                <w:sz w:val="18"/>
                <w:szCs w:val="18"/>
                <w:lang w:val="en-US"/>
              </w:rPr>
              <w:t>Protect hotspots (if any)</w:t>
            </w:r>
          </w:p>
        </w:tc>
        <w:tc>
          <w:tcPr>
            <w:tcW w:w="1540" w:type="pct"/>
            <w:shd w:val="clear" w:color="auto" w:fill="auto"/>
            <w:hideMark/>
          </w:tcPr>
          <w:p w14:paraId="31C8C283"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w:t>
            </w:r>
            <w:r>
              <w:rPr>
                <w:rFonts w:cs="Arial"/>
                <w:color w:val="auto"/>
                <w:sz w:val="18"/>
                <w:szCs w:val="18"/>
                <w:lang w:val="en-US"/>
              </w:rPr>
              <w:t>rotect hotspots (if any)</w:t>
            </w:r>
          </w:p>
        </w:tc>
        <w:tc>
          <w:tcPr>
            <w:tcW w:w="918" w:type="pct"/>
            <w:vMerge w:val="restart"/>
            <w:shd w:val="clear" w:color="auto" w:fill="auto"/>
            <w:hideMark/>
          </w:tcPr>
          <w:p w14:paraId="31C8C284"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Adaptive management</w:t>
            </w:r>
            <w:r>
              <w:rPr>
                <w:rFonts w:cs="Arial"/>
                <w:color w:val="auto"/>
                <w:sz w:val="18"/>
                <w:szCs w:val="18"/>
                <w:lang w:val="en-US"/>
              </w:rPr>
              <w:t>;</w:t>
            </w:r>
            <w:r w:rsidRPr="008451D3">
              <w:rPr>
                <w:rFonts w:cs="Arial"/>
                <w:color w:val="auto"/>
                <w:sz w:val="18"/>
                <w:szCs w:val="18"/>
                <w:lang w:val="en-US"/>
              </w:rPr>
              <w:t xml:space="preserve"> Continue monitor</w:t>
            </w:r>
            <w:r>
              <w:rPr>
                <w:rFonts w:cs="Arial"/>
                <w:color w:val="auto"/>
                <w:sz w:val="18"/>
                <w:szCs w:val="18"/>
                <w:lang w:val="en-US"/>
              </w:rPr>
              <w:t>ing</w:t>
            </w:r>
          </w:p>
        </w:tc>
      </w:tr>
      <w:tr w:rsidR="003E7130" w:rsidRPr="008451D3" w14:paraId="31C8C28B" w14:textId="77777777" w:rsidTr="00544C45">
        <w:trPr>
          <w:trHeight w:val="480"/>
          <w:jc w:val="center"/>
        </w:trPr>
        <w:tc>
          <w:tcPr>
            <w:tcW w:w="383" w:type="pct"/>
            <w:vMerge/>
            <w:vAlign w:val="center"/>
            <w:hideMark/>
          </w:tcPr>
          <w:p w14:paraId="31C8C286"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87" w14:textId="77777777" w:rsidR="003E7130" w:rsidRPr="008451D3" w:rsidRDefault="003E7130" w:rsidP="00544C45">
            <w:pPr>
              <w:spacing w:after="0"/>
              <w:rPr>
                <w:rFonts w:cs="Arial"/>
                <w:color w:val="auto"/>
                <w:sz w:val="18"/>
                <w:szCs w:val="18"/>
              </w:rPr>
            </w:pPr>
          </w:p>
        </w:tc>
        <w:tc>
          <w:tcPr>
            <w:tcW w:w="1350" w:type="pct"/>
            <w:shd w:val="clear" w:color="auto" w:fill="auto"/>
            <w:hideMark/>
          </w:tcPr>
          <w:p w14:paraId="31C8C288" w14:textId="77777777" w:rsidR="003E7130" w:rsidRPr="008451D3" w:rsidRDefault="003E7130" w:rsidP="00544C45">
            <w:pPr>
              <w:spacing w:after="0"/>
              <w:rPr>
                <w:rFonts w:cs="Arial"/>
                <w:color w:val="auto"/>
                <w:sz w:val="18"/>
                <w:szCs w:val="18"/>
              </w:rPr>
            </w:pPr>
            <w:r>
              <w:rPr>
                <w:rFonts w:cs="Arial"/>
                <w:color w:val="auto"/>
                <w:sz w:val="18"/>
                <w:szCs w:val="18"/>
                <w:lang w:val="en-US"/>
              </w:rPr>
              <w:t>Baseline risk monitoring</w:t>
            </w:r>
          </w:p>
        </w:tc>
        <w:tc>
          <w:tcPr>
            <w:tcW w:w="1540" w:type="pct"/>
            <w:shd w:val="clear" w:color="auto" w:fill="auto"/>
            <w:hideMark/>
          </w:tcPr>
          <w:p w14:paraId="31C8C289" w14:textId="77777777" w:rsidR="003E7130" w:rsidRPr="008451D3" w:rsidRDefault="003E7130" w:rsidP="00544C45">
            <w:pPr>
              <w:spacing w:after="0"/>
              <w:rPr>
                <w:rFonts w:cs="Arial"/>
                <w:color w:val="auto"/>
                <w:sz w:val="18"/>
                <w:szCs w:val="18"/>
              </w:rPr>
            </w:pPr>
            <w:r>
              <w:rPr>
                <w:rFonts w:cs="Arial"/>
                <w:color w:val="auto"/>
                <w:sz w:val="18"/>
                <w:szCs w:val="18"/>
                <w:lang w:val="en-US"/>
              </w:rPr>
              <w:t>Baseline risk monitoring</w:t>
            </w:r>
          </w:p>
        </w:tc>
        <w:tc>
          <w:tcPr>
            <w:tcW w:w="918" w:type="pct"/>
            <w:vMerge/>
            <w:vAlign w:val="center"/>
            <w:hideMark/>
          </w:tcPr>
          <w:p w14:paraId="31C8C28A" w14:textId="77777777" w:rsidR="003E7130" w:rsidRPr="008451D3" w:rsidRDefault="003E7130" w:rsidP="00544C45">
            <w:pPr>
              <w:spacing w:after="0"/>
              <w:rPr>
                <w:rFonts w:cs="Arial"/>
                <w:color w:val="auto"/>
                <w:sz w:val="18"/>
                <w:szCs w:val="18"/>
              </w:rPr>
            </w:pPr>
          </w:p>
        </w:tc>
      </w:tr>
      <w:tr w:rsidR="003E7130" w:rsidRPr="008451D3" w14:paraId="31C8C291" w14:textId="77777777" w:rsidTr="00544C45">
        <w:trPr>
          <w:trHeight w:val="525"/>
          <w:jc w:val="center"/>
        </w:trPr>
        <w:tc>
          <w:tcPr>
            <w:tcW w:w="383" w:type="pct"/>
            <w:vMerge w:val="restart"/>
            <w:shd w:val="clear" w:color="auto" w:fill="auto"/>
            <w:vAlign w:val="center"/>
            <w:hideMark/>
          </w:tcPr>
          <w:p w14:paraId="31C8C28C"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H</w:t>
            </w:r>
          </w:p>
        </w:tc>
        <w:tc>
          <w:tcPr>
            <w:tcW w:w="808" w:type="pct"/>
            <w:vMerge w:val="restart"/>
            <w:shd w:val="clear" w:color="auto" w:fill="auto"/>
            <w:vAlign w:val="center"/>
            <w:hideMark/>
          </w:tcPr>
          <w:p w14:paraId="31C8C28D"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Low Value/Moderate Risk</w:t>
            </w:r>
          </w:p>
        </w:tc>
        <w:tc>
          <w:tcPr>
            <w:tcW w:w="1350" w:type="pct"/>
            <w:vMerge w:val="restart"/>
            <w:shd w:val="clear" w:color="auto" w:fill="auto"/>
            <w:hideMark/>
          </w:tcPr>
          <w:p w14:paraId="31C8C28E"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Protect hotspots (if any)</w:t>
            </w:r>
          </w:p>
        </w:tc>
        <w:tc>
          <w:tcPr>
            <w:tcW w:w="1540" w:type="pct"/>
            <w:vMerge w:val="restart"/>
            <w:shd w:val="clear" w:color="auto" w:fill="auto"/>
            <w:hideMark/>
          </w:tcPr>
          <w:p w14:paraId="31C8C28F"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Protect hotspots (if any)</w:t>
            </w:r>
          </w:p>
        </w:tc>
        <w:tc>
          <w:tcPr>
            <w:tcW w:w="918" w:type="pct"/>
            <w:vMerge w:val="restart"/>
            <w:shd w:val="clear" w:color="auto" w:fill="auto"/>
            <w:hideMark/>
          </w:tcPr>
          <w:p w14:paraId="31C8C290"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A</w:t>
            </w:r>
            <w:r>
              <w:rPr>
                <w:rFonts w:cs="Arial"/>
                <w:color w:val="auto"/>
                <w:sz w:val="18"/>
                <w:szCs w:val="18"/>
                <w:lang w:val="en-US"/>
              </w:rPr>
              <w:t>daptive management; Continue monitoring</w:t>
            </w:r>
          </w:p>
        </w:tc>
      </w:tr>
      <w:tr w:rsidR="003E7130" w:rsidRPr="008451D3" w14:paraId="31C8C297" w14:textId="77777777" w:rsidTr="00544C45">
        <w:trPr>
          <w:trHeight w:val="269"/>
          <w:jc w:val="center"/>
        </w:trPr>
        <w:tc>
          <w:tcPr>
            <w:tcW w:w="383" w:type="pct"/>
            <w:vMerge/>
            <w:vAlign w:val="center"/>
            <w:hideMark/>
          </w:tcPr>
          <w:p w14:paraId="31C8C292"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93"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94"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95"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96" w14:textId="77777777" w:rsidR="003E7130" w:rsidRPr="008451D3" w:rsidRDefault="003E7130" w:rsidP="00544C45">
            <w:pPr>
              <w:spacing w:after="0"/>
              <w:rPr>
                <w:rFonts w:cs="Arial"/>
                <w:color w:val="auto"/>
                <w:sz w:val="18"/>
                <w:szCs w:val="18"/>
              </w:rPr>
            </w:pPr>
          </w:p>
        </w:tc>
      </w:tr>
      <w:tr w:rsidR="003E7130" w:rsidRPr="008451D3" w14:paraId="31C8C29E" w14:textId="77777777" w:rsidTr="00544C45">
        <w:trPr>
          <w:trHeight w:val="960"/>
          <w:jc w:val="center"/>
        </w:trPr>
        <w:tc>
          <w:tcPr>
            <w:tcW w:w="383" w:type="pct"/>
            <w:vMerge/>
            <w:vAlign w:val="center"/>
            <w:hideMark/>
          </w:tcPr>
          <w:p w14:paraId="31C8C298"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99" w14:textId="77777777" w:rsidR="003E7130" w:rsidRPr="008451D3" w:rsidRDefault="003E7130" w:rsidP="00544C45">
            <w:pPr>
              <w:spacing w:after="0"/>
              <w:rPr>
                <w:rFonts w:cs="Arial"/>
                <w:color w:val="auto"/>
                <w:sz w:val="18"/>
                <w:szCs w:val="18"/>
              </w:rPr>
            </w:pPr>
          </w:p>
        </w:tc>
        <w:tc>
          <w:tcPr>
            <w:tcW w:w="1350" w:type="pct"/>
            <w:shd w:val="clear" w:color="auto" w:fill="auto"/>
            <w:hideMark/>
          </w:tcPr>
          <w:p w14:paraId="31C8C29A" w14:textId="77777777" w:rsidR="003E7130" w:rsidRDefault="003E7130" w:rsidP="00544C45">
            <w:pPr>
              <w:spacing w:after="0"/>
              <w:rPr>
                <w:rFonts w:cs="Arial"/>
                <w:color w:val="auto"/>
                <w:sz w:val="18"/>
                <w:szCs w:val="18"/>
                <w:lang w:val="en-US"/>
              </w:rPr>
            </w:pPr>
            <w:r w:rsidRPr="008451D3">
              <w:rPr>
                <w:rFonts w:cs="Arial"/>
                <w:color w:val="auto"/>
                <w:sz w:val="18"/>
                <w:szCs w:val="18"/>
                <w:lang w:val="en-US"/>
              </w:rPr>
              <w:t>Baseline ris</w:t>
            </w:r>
            <w:r>
              <w:rPr>
                <w:rFonts w:cs="Arial"/>
                <w:color w:val="auto"/>
                <w:sz w:val="18"/>
                <w:szCs w:val="18"/>
                <w:lang w:val="en-US"/>
              </w:rPr>
              <w:t>k monitoring;</w:t>
            </w:r>
          </w:p>
          <w:p w14:paraId="31C8C29B" w14:textId="77777777" w:rsidR="003E7130" w:rsidRPr="008451D3" w:rsidRDefault="003E7130" w:rsidP="00544C45">
            <w:pPr>
              <w:spacing w:after="0"/>
              <w:rPr>
                <w:rFonts w:cs="Arial"/>
                <w:color w:val="auto"/>
                <w:sz w:val="18"/>
                <w:szCs w:val="18"/>
              </w:rPr>
            </w:pPr>
            <w:r>
              <w:rPr>
                <w:rFonts w:cs="Arial"/>
                <w:color w:val="auto"/>
                <w:sz w:val="18"/>
                <w:szCs w:val="18"/>
                <w:lang w:val="en-US"/>
              </w:rPr>
              <w:t xml:space="preserve"> Mitigation action</w:t>
            </w:r>
          </w:p>
        </w:tc>
        <w:tc>
          <w:tcPr>
            <w:tcW w:w="1540" w:type="pct"/>
            <w:shd w:val="clear" w:color="auto" w:fill="auto"/>
            <w:hideMark/>
          </w:tcPr>
          <w:p w14:paraId="31C8C29C"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Monitoring and per</w:t>
            </w:r>
            <w:r>
              <w:rPr>
                <w:rFonts w:cs="Arial"/>
                <w:color w:val="auto"/>
                <w:sz w:val="18"/>
                <w:szCs w:val="18"/>
                <w:lang w:val="en-US"/>
              </w:rPr>
              <w:t>iodic assessment of mitigation</w:t>
            </w:r>
          </w:p>
        </w:tc>
        <w:tc>
          <w:tcPr>
            <w:tcW w:w="918" w:type="pct"/>
            <w:vMerge/>
            <w:vAlign w:val="center"/>
            <w:hideMark/>
          </w:tcPr>
          <w:p w14:paraId="31C8C29D" w14:textId="77777777" w:rsidR="003E7130" w:rsidRPr="008451D3" w:rsidRDefault="003E7130" w:rsidP="00544C45">
            <w:pPr>
              <w:spacing w:after="0"/>
              <w:rPr>
                <w:rFonts w:cs="Arial"/>
                <w:color w:val="auto"/>
                <w:sz w:val="18"/>
                <w:szCs w:val="18"/>
              </w:rPr>
            </w:pPr>
          </w:p>
        </w:tc>
      </w:tr>
      <w:tr w:rsidR="003E7130" w:rsidRPr="008451D3" w14:paraId="31C8C2A5" w14:textId="77777777" w:rsidTr="00544C45">
        <w:trPr>
          <w:trHeight w:val="330"/>
          <w:jc w:val="center"/>
        </w:trPr>
        <w:tc>
          <w:tcPr>
            <w:tcW w:w="383" w:type="pct"/>
            <w:vMerge w:val="restart"/>
            <w:shd w:val="clear" w:color="auto" w:fill="auto"/>
            <w:vAlign w:val="center"/>
            <w:hideMark/>
          </w:tcPr>
          <w:p w14:paraId="31C8C29F" w14:textId="77777777" w:rsidR="003E7130" w:rsidRPr="008451D3" w:rsidRDefault="003E7130" w:rsidP="00544C45">
            <w:pPr>
              <w:spacing w:after="0"/>
              <w:jc w:val="center"/>
              <w:rPr>
                <w:rFonts w:cs="Arial"/>
                <w:b/>
                <w:bCs/>
                <w:color w:val="auto"/>
                <w:sz w:val="18"/>
                <w:szCs w:val="18"/>
              </w:rPr>
            </w:pPr>
            <w:r w:rsidRPr="008451D3">
              <w:rPr>
                <w:rFonts w:cs="Arial"/>
                <w:b/>
                <w:bCs/>
                <w:color w:val="auto"/>
                <w:sz w:val="18"/>
                <w:szCs w:val="18"/>
                <w:lang w:val="en-US"/>
              </w:rPr>
              <w:t>I</w:t>
            </w:r>
          </w:p>
        </w:tc>
        <w:tc>
          <w:tcPr>
            <w:tcW w:w="808" w:type="pct"/>
            <w:vMerge w:val="restart"/>
            <w:shd w:val="clear" w:color="auto" w:fill="auto"/>
            <w:vAlign w:val="center"/>
            <w:hideMark/>
          </w:tcPr>
          <w:p w14:paraId="31C8C2A0" w14:textId="77777777" w:rsidR="003E7130" w:rsidRPr="008451D3" w:rsidRDefault="003E7130" w:rsidP="00544C45">
            <w:pPr>
              <w:spacing w:after="0"/>
              <w:jc w:val="center"/>
              <w:rPr>
                <w:rFonts w:cs="Arial"/>
                <w:color w:val="auto"/>
                <w:sz w:val="18"/>
                <w:szCs w:val="18"/>
              </w:rPr>
            </w:pPr>
            <w:r w:rsidRPr="008451D3">
              <w:rPr>
                <w:rFonts w:cs="Arial"/>
                <w:color w:val="auto"/>
                <w:sz w:val="18"/>
                <w:szCs w:val="18"/>
                <w:lang w:val="en-US"/>
              </w:rPr>
              <w:t>Low Value/High Risk</w:t>
            </w:r>
          </w:p>
        </w:tc>
        <w:tc>
          <w:tcPr>
            <w:tcW w:w="1350" w:type="pct"/>
            <w:vMerge w:val="restart"/>
            <w:shd w:val="clear" w:color="auto" w:fill="auto"/>
            <w:hideMark/>
          </w:tcPr>
          <w:p w14:paraId="31C8C2A1"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Protect hotspots (if any)</w:t>
            </w:r>
          </w:p>
        </w:tc>
        <w:tc>
          <w:tcPr>
            <w:tcW w:w="1540" w:type="pct"/>
            <w:vMerge w:val="restart"/>
            <w:shd w:val="clear" w:color="auto" w:fill="auto"/>
            <w:hideMark/>
          </w:tcPr>
          <w:p w14:paraId="31C8C2A2"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P</w:t>
            </w:r>
            <w:r>
              <w:rPr>
                <w:rFonts w:cs="Arial"/>
                <w:color w:val="auto"/>
                <w:sz w:val="18"/>
                <w:szCs w:val="18"/>
                <w:lang w:val="en-US"/>
              </w:rPr>
              <w:t>rotect hotspots (if any)</w:t>
            </w:r>
          </w:p>
        </w:tc>
        <w:tc>
          <w:tcPr>
            <w:tcW w:w="918" w:type="pct"/>
            <w:vMerge w:val="restart"/>
            <w:shd w:val="clear" w:color="auto" w:fill="auto"/>
            <w:hideMark/>
          </w:tcPr>
          <w:p w14:paraId="31C8C2A3" w14:textId="77777777" w:rsidR="003E7130" w:rsidRDefault="003E7130" w:rsidP="00544C45">
            <w:pPr>
              <w:spacing w:after="0"/>
              <w:rPr>
                <w:rFonts w:cs="Arial"/>
                <w:color w:val="auto"/>
                <w:sz w:val="18"/>
                <w:szCs w:val="18"/>
                <w:lang w:val="en-US"/>
              </w:rPr>
            </w:pPr>
            <w:r>
              <w:rPr>
                <w:rFonts w:cs="Arial"/>
                <w:color w:val="auto"/>
                <w:sz w:val="18"/>
                <w:szCs w:val="18"/>
                <w:lang w:val="en-US"/>
              </w:rPr>
              <w:t>Adaptive management;</w:t>
            </w:r>
          </w:p>
          <w:p w14:paraId="31C8C2A4"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Continue monitoring</w:t>
            </w:r>
          </w:p>
        </w:tc>
      </w:tr>
      <w:tr w:rsidR="003E7130" w:rsidRPr="008451D3" w14:paraId="31C8C2AB" w14:textId="77777777" w:rsidTr="00544C45">
        <w:trPr>
          <w:trHeight w:val="300"/>
          <w:jc w:val="center"/>
        </w:trPr>
        <w:tc>
          <w:tcPr>
            <w:tcW w:w="383" w:type="pct"/>
            <w:vMerge/>
            <w:vAlign w:val="center"/>
            <w:hideMark/>
          </w:tcPr>
          <w:p w14:paraId="31C8C2A6"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A7"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A8"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A9"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AA" w14:textId="77777777" w:rsidR="003E7130" w:rsidRPr="008451D3" w:rsidRDefault="003E7130" w:rsidP="00544C45">
            <w:pPr>
              <w:spacing w:after="0"/>
              <w:rPr>
                <w:rFonts w:cs="Arial"/>
                <w:color w:val="auto"/>
                <w:sz w:val="18"/>
                <w:szCs w:val="18"/>
              </w:rPr>
            </w:pPr>
          </w:p>
        </w:tc>
      </w:tr>
      <w:tr w:rsidR="003E7130" w:rsidRPr="008451D3" w14:paraId="31C8C2B2" w14:textId="77777777" w:rsidTr="00544C45">
        <w:trPr>
          <w:trHeight w:val="480"/>
          <w:jc w:val="center"/>
        </w:trPr>
        <w:tc>
          <w:tcPr>
            <w:tcW w:w="383" w:type="pct"/>
            <w:vMerge/>
            <w:vAlign w:val="center"/>
            <w:hideMark/>
          </w:tcPr>
          <w:p w14:paraId="31C8C2AC"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AD" w14:textId="77777777" w:rsidR="003E7130" w:rsidRPr="008451D3" w:rsidRDefault="003E7130" w:rsidP="00544C45">
            <w:pPr>
              <w:spacing w:after="0"/>
              <w:rPr>
                <w:rFonts w:cs="Arial"/>
                <w:color w:val="auto"/>
                <w:sz w:val="18"/>
                <w:szCs w:val="18"/>
              </w:rPr>
            </w:pPr>
          </w:p>
        </w:tc>
        <w:tc>
          <w:tcPr>
            <w:tcW w:w="1350" w:type="pct"/>
            <w:vMerge w:val="restart"/>
            <w:shd w:val="clear" w:color="auto" w:fill="auto"/>
            <w:hideMark/>
          </w:tcPr>
          <w:p w14:paraId="31C8C2AE" w14:textId="77777777" w:rsidR="003E7130" w:rsidRDefault="003E7130" w:rsidP="00544C45">
            <w:pPr>
              <w:spacing w:after="0"/>
              <w:rPr>
                <w:rFonts w:cs="Arial"/>
                <w:color w:val="auto"/>
                <w:sz w:val="18"/>
                <w:szCs w:val="18"/>
                <w:lang w:val="en-US"/>
              </w:rPr>
            </w:pPr>
            <w:r>
              <w:rPr>
                <w:rFonts w:cs="Arial"/>
                <w:color w:val="auto"/>
                <w:sz w:val="18"/>
                <w:szCs w:val="18"/>
                <w:lang w:val="en-US"/>
              </w:rPr>
              <w:t>Baseline risk monitoring;</w:t>
            </w:r>
          </w:p>
          <w:p w14:paraId="31C8C2AF"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 xml:space="preserve"> Mitigation </w:t>
            </w:r>
            <w:r w:rsidR="008D5006">
              <w:rPr>
                <w:rFonts w:cs="Arial"/>
                <w:color w:val="auto"/>
                <w:sz w:val="18"/>
                <w:szCs w:val="18"/>
                <w:lang w:val="en-US"/>
              </w:rPr>
              <w:t>a</w:t>
            </w:r>
            <w:r w:rsidRPr="008451D3">
              <w:rPr>
                <w:rFonts w:cs="Arial"/>
                <w:color w:val="auto"/>
                <w:sz w:val="18"/>
                <w:szCs w:val="18"/>
                <w:lang w:val="en-US"/>
              </w:rPr>
              <w:t>ction.</w:t>
            </w:r>
          </w:p>
        </w:tc>
        <w:tc>
          <w:tcPr>
            <w:tcW w:w="1540" w:type="pct"/>
            <w:vMerge w:val="restart"/>
            <w:shd w:val="clear" w:color="auto" w:fill="auto"/>
            <w:hideMark/>
          </w:tcPr>
          <w:p w14:paraId="31C8C2B0" w14:textId="77777777" w:rsidR="003E7130" w:rsidRPr="008451D3" w:rsidRDefault="003E7130" w:rsidP="00544C45">
            <w:pPr>
              <w:spacing w:after="0"/>
              <w:rPr>
                <w:rFonts w:cs="Arial"/>
                <w:color w:val="auto"/>
                <w:sz w:val="18"/>
                <w:szCs w:val="18"/>
              </w:rPr>
            </w:pPr>
            <w:r w:rsidRPr="008451D3">
              <w:rPr>
                <w:rFonts w:cs="Arial"/>
                <w:color w:val="auto"/>
                <w:sz w:val="18"/>
                <w:szCs w:val="18"/>
                <w:lang w:val="en-US"/>
              </w:rPr>
              <w:t>Monitoring and annual assessment of mitigation</w:t>
            </w:r>
          </w:p>
        </w:tc>
        <w:tc>
          <w:tcPr>
            <w:tcW w:w="918" w:type="pct"/>
            <w:vMerge/>
            <w:vAlign w:val="center"/>
            <w:hideMark/>
          </w:tcPr>
          <w:p w14:paraId="31C8C2B1" w14:textId="77777777" w:rsidR="003E7130" w:rsidRPr="008451D3" w:rsidRDefault="003E7130" w:rsidP="00544C45">
            <w:pPr>
              <w:spacing w:after="0"/>
              <w:rPr>
                <w:rFonts w:cs="Arial"/>
                <w:color w:val="auto"/>
                <w:sz w:val="18"/>
                <w:szCs w:val="18"/>
              </w:rPr>
            </w:pPr>
          </w:p>
        </w:tc>
      </w:tr>
      <w:tr w:rsidR="003E7130" w:rsidRPr="008451D3" w14:paraId="31C8C2B8" w14:textId="77777777" w:rsidTr="00544C45">
        <w:trPr>
          <w:trHeight w:val="570"/>
          <w:jc w:val="center"/>
        </w:trPr>
        <w:tc>
          <w:tcPr>
            <w:tcW w:w="383" w:type="pct"/>
            <w:vMerge/>
            <w:vAlign w:val="center"/>
            <w:hideMark/>
          </w:tcPr>
          <w:p w14:paraId="31C8C2B3" w14:textId="77777777" w:rsidR="003E7130" w:rsidRPr="008451D3" w:rsidRDefault="003E7130" w:rsidP="00544C45">
            <w:pPr>
              <w:spacing w:after="0"/>
              <w:rPr>
                <w:rFonts w:cs="Arial"/>
                <w:b/>
                <w:bCs/>
                <w:color w:val="auto"/>
                <w:sz w:val="18"/>
                <w:szCs w:val="18"/>
              </w:rPr>
            </w:pPr>
          </w:p>
        </w:tc>
        <w:tc>
          <w:tcPr>
            <w:tcW w:w="808" w:type="pct"/>
            <w:vMerge/>
            <w:vAlign w:val="center"/>
            <w:hideMark/>
          </w:tcPr>
          <w:p w14:paraId="31C8C2B4" w14:textId="77777777" w:rsidR="003E7130" w:rsidRPr="008451D3" w:rsidRDefault="003E7130" w:rsidP="00544C45">
            <w:pPr>
              <w:spacing w:after="0"/>
              <w:rPr>
                <w:rFonts w:cs="Arial"/>
                <w:color w:val="auto"/>
                <w:sz w:val="18"/>
                <w:szCs w:val="18"/>
              </w:rPr>
            </w:pPr>
          </w:p>
        </w:tc>
        <w:tc>
          <w:tcPr>
            <w:tcW w:w="1350" w:type="pct"/>
            <w:vMerge/>
            <w:vAlign w:val="center"/>
            <w:hideMark/>
          </w:tcPr>
          <w:p w14:paraId="31C8C2B5" w14:textId="77777777" w:rsidR="003E7130" w:rsidRPr="008451D3" w:rsidRDefault="003E7130" w:rsidP="00544C45">
            <w:pPr>
              <w:spacing w:after="0"/>
              <w:rPr>
                <w:rFonts w:cs="Arial"/>
                <w:color w:val="auto"/>
                <w:sz w:val="18"/>
                <w:szCs w:val="18"/>
              </w:rPr>
            </w:pPr>
          </w:p>
        </w:tc>
        <w:tc>
          <w:tcPr>
            <w:tcW w:w="1540" w:type="pct"/>
            <w:vMerge/>
            <w:vAlign w:val="center"/>
            <w:hideMark/>
          </w:tcPr>
          <w:p w14:paraId="31C8C2B6" w14:textId="77777777" w:rsidR="003E7130" w:rsidRPr="008451D3" w:rsidRDefault="003E7130" w:rsidP="00544C45">
            <w:pPr>
              <w:spacing w:after="0"/>
              <w:rPr>
                <w:rFonts w:cs="Arial"/>
                <w:color w:val="auto"/>
                <w:sz w:val="18"/>
                <w:szCs w:val="18"/>
              </w:rPr>
            </w:pPr>
          </w:p>
        </w:tc>
        <w:tc>
          <w:tcPr>
            <w:tcW w:w="918" w:type="pct"/>
            <w:vMerge/>
            <w:vAlign w:val="center"/>
            <w:hideMark/>
          </w:tcPr>
          <w:p w14:paraId="31C8C2B7" w14:textId="77777777" w:rsidR="003E7130" w:rsidRPr="008451D3" w:rsidRDefault="003E7130" w:rsidP="00544C45">
            <w:pPr>
              <w:spacing w:after="0"/>
              <w:rPr>
                <w:rFonts w:cs="Arial"/>
                <w:color w:val="auto"/>
                <w:sz w:val="18"/>
                <w:szCs w:val="18"/>
              </w:rPr>
            </w:pPr>
          </w:p>
        </w:tc>
      </w:tr>
    </w:tbl>
    <w:p w14:paraId="31C8C2B9" w14:textId="77777777" w:rsidR="003E7130" w:rsidRPr="003E1A05" w:rsidRDefault="00916ABD" w:rsidP="003E7130">
      <w:pPr>
        <w:pStyle w:val="BodyText"/>
        <w:rPr>
          <w:b/>
          <w:color w:val="000000" w:themeColor="text1"/>
        </w:rPr>
      </w:pPr>
      <w:r w:rsidRPr="0030563D">
        <w:t xml:space="preserve"> </w:t>
      </w:r>
    </w:p>
    <w:p w14:paraId="31C8C2BA" w14:textId="77777777" w:rsidR="002D2DA3" w:rsidRDefault="002D2DA3">
      <w:pPr>
        <w:spacing w:after="0"/>
      </w:pPr>
    </w:p>
    <w:p w14:paraId="31C8C2BB" w14:textId="77777777" w:rsidR="002C1F1E" w:rsidRDefault="002C1F1E" w:rsidP="007C6A17">
      <w:pPr>
        <w:pStyle w:val="BodyText"/>
      </w:pPr>
    </w:p>
    <w:p w14:paraId="31C8C2BC" w14:textId="77777777" w:rsidR="002C1F1E" w:rsidRDefault="002C1F1E" w:rsidP="007C6A1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14:paraId="31C8C2BE" w14:textId="77777777" w:rsidTr="0024666C">
        <w:trPr>
          <w:trHeight w:hRule="exact" w:val="992"/>
        </w:trPr>
        <w:tc>
          <w:tcPr>
            <w:tcW w:w="8755" w:type="dxa"/>
            <w:gridSpan w:val="3"/>
          </w:tcPr>
          <w:p w14:paraId="31C8C2BD" w14:textId="77777777" w:rsidR="00B46B69" w:rsidRPr="005F573F" w:rsidRDefault="00B46B69" w:rsidP="0024666C">
            <w:pPr>
              <w:pStyle w:val="BackCoverContactDetails"/>
            </w:pPr>
          </w:p>
        </w:tc>
      </w:tr>
      <w:tr w:rsidR="00595E34" w14:paraId="31C8C2C2" w14:textId="77777777" w:rsidTr="0024666C">
        <w:tc>
          <w:tcPr>
            <w:tcW w:w="3337" w:type="dxa"/>
          </w:tcPr>
          <w:p w14:paraId="31C8C2BF" w14:textId="77777777" w:rsidR="00595E34" w:rsidRPr="00585C0D" w:rsidRDefault="00595E34" w:rsidP="007A727E">
            <w:pPr>
              <w:pStyle w:val="BackCoverContactDetails"/>
            </w:pPr>
          </w:p>
        </w:tc>
        <w:tc>
          <w:tcPr>
            <w:tcW w:w="457" w:type="dxa"/>
          </w:tcPr>
          <w:p w14:paraId="31C8C2C0" w14:textId="77777777" w:rsidR="00595E34" w:rsidRPr="00585C0D" w:rsidRDefault="00595E34" w:rsidP="007A727E">
            <w:pPr>
              <w:pStyle w:val="BackCoverContactHeading"/>
            </w:pPr>
          </w:p>
        </w:tc>
        <w:tc>
          <w:tcPr>
            <w:tcW w:w="4961" w:type="dxa"/>
          </w:tcPr>
          <w:p w14:paraId="31C8C2C1" w14:textId="77777777" w:rsidR="00595E34" w:rsidRPr="00585C0D" w:rsidRDefault="00595E34" w:rsidP="007A727E">
            <w:pPr>
              <w:pStyle w:val="BackCoverContactDetails"/>
            </w:pPr>
          </w:p>
        </w:tc>
      </w:tr>
    </w:tbl>
    <w:p w14:paraId="31C8C2C3" w14:textId="77777777" w:rsidR="00A14107" w:rsidRPr="006C2F7A" w:rsidRDefault="00A14107" w:rsidP="006C3DCD">
      <w:pPr>
        <w:pStyle w:val="BodyText"/>
        <w:rPr>
          <w:sz w:val="18"/>
        </w:rPr>
      </w:pPr>
    </w:p>
    <w:sectPr w:rsidR="00A14107" w:rsidRPr="006C2F7A" w:rsidSect="00603BB8">
      <w:pgSz w:w="11906" w:h="16838" w:code="9"/>
      <w:pgMar w:top="720" w:right="720" w:bottom="720" w:left="720" w:header="510" w:footer="624" w:gutter="0"/>
      <w:cols w:space="85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8C320" w14:textId="77777777" w:rsidR="00526CA7" w:rsidRDefault="00526CA7" w:rsidP="009964E7">
      <w:r>
        <w:separator/>
      </w:r>
    </w:p>
    <w:p w14:paraId="31C8C321" w14:textId="77777777" w:rsidR="00526CA7" w:rsidRDefault="00526CA7"/>
  </w:endnote>
  <w:endnote w:type="continuationSeparator" w:id="0">
    <w:p w14:paraId="31C8C322" w14:textId="77777777" w:rsidR="00526CA7" w:rsidRDefault="00526CA7" w:rsidP="009964E7">
      <w:r>
        <w:continuationSeparator/>
      </w:r>
    </w:p>
    <w:p w14:paraId="31C8C323" w14:textId="77777777" w:rsidR="00526CA7" w:rsidRDefault="00526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altName w:val="Cambria Math"/>
    <w:panose1 w:val="02040503050306020203"/>
    <w:charset w:val="4D"/>
    <w:family w:val="auto"/>
    <w:notTrueType/>
    <w:pitch w:val="default"/>
    <w:sig w:usb0="00000003" w:usb1="00000000" w:usb2="00000000" w:usb3="00000000" w:csb0="00000001" w:csb1="00000000"/>
  </w:font>
  <w:font w:name="Corbel-Bold">
    <w:altName w:val="Times New Roman"/>
    <w:panose1 w:val="00000000000000000000"/>
    <w:charset w:val="EE"/>
    <w:family w:val="auto"/>
    <w:notTrueType/>
    <w:pitch w:val="default"/>
    <w:sig w:usb0="00000005" w:usb1="00000000" w:usb2="00000000" w:usb3="00000000" w:csb0="00000002" w:csb1="00000000"/>
  </w:font>
  <w:font w:name="MinionPro-It">
    <w:panose1 w:val="00000000000000000000"/>
    <w:charset w:val="00"/>
    <w:family w:val="roman"/>
    <w:notTrueType/>
    <w:pitch w:val="default"/>
    <w:sig w:usb0="00000003" w:usb1="00000000" w:usb2="00000000" w:usb3="00000000" w:csb0="00000001" w:csb1="00000000"/>
  </w:font>
  <w:font w:name="MinionPro-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6" w14:textId="77777777" w:rsidR="00526CA7" w:rsidRDefault="00526CA7" w:rsidP="00D33852">
    <w:pPr>
      <w:pStyle w:val="Footer"/>
      <w:jc w:val="center"/>
      <w:rPr>
        <w:noProof/>
      </w:rPr>
    </w:pPr>
  </w:p>
  <w:p w14:paraId="31C8C327" w14:textId="77777777" w:rsidR="00526CA7" w:rsidRPr="00C801E5" w:rsidRDefault="00526CA7" w:rsidP="00D33852">
    <w:pPr>
      <w:pStyle w:val="Footer"/>
      <w:jc w:val="cente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A" w14:textId="77777777" w:rsidR="00526CA7" w:rsidRDefault="00526CA7" w:rsidP="00D33852">
    <w:pPr>
      <w:pStyle w:val="Footer"/>
      <w:ind w:firstLine="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D" w14:textId="77777777" w:rsidR="00526CA7" w:rsidRDefault="00526CA7" w:rsidP="00D33852">
    <w:pPr>
      <w:pStyle w:val="Footer"/>
      <w:tabs>
        <w:tab w:val="clear" w:pos="4513"/>
        <w:tab w:val="clear" w:pos="9026"/>
      </w:tabs>
      <w:jc w:val="center"/>
    </w:pPr>
    <w:r w:rsidRPr="00696692">
      <w:rPr>
        <w:rFonts w:asciiTheme="majorHAnsi" w:hAnsiTheme="majorHAnsi"/>
        <w:szCs w:val="18"/>
      </w:rPr>
      <w:t xml:space="preserve">THIS </w:t>
    </w:r>
    <w:r>
      <w:rPr>
        <w:rFonts w:asciiTheme="majorHAnsi" w:hAnsiTheme="majorHAnsi"/>
        <w:szCs w:val="18"/>
      </w:rPr>
      <w:t>INITIATIVE</w:t>
    </w:r>
    <w:r w:rsidRPr="00696692">
      <w:rPr>
        <w:rFonts w:asciiTheme="majorHAnsi" w:hAnsiTheme="majorHAnsi"/>
        <w:szCs w:val="18"/>
      </w:rPr>
      <w:t xml:space="preserve"> IS FUNDED BY THE</w:t>
    </w:r>
    <w:r>
      <w:rPr>
        <w:rFonts w:asciiTheme="majorHAnsi" w:hAnsiTheme="majorHAnsi"/>
        <w:szCs w:val="18"/>
      </w:rPr>
      <w:t xml:space="preserve"> AUSTRALIAN GOVERNMENT</w:t>
    </w:r>
    <w:r w:rsidRPr="00696692">
      <w:rPr>
        <w:rFonts w:asciiTheme="majorHAnsi" w:hAnsiTheme="majorHAnsi"/>
        <w:szCs w:val="18"/>
      </w:rPr>
      <w:t xml:space="preserve"> DEPARTMENT OF THE ENVIRONMENT</w:t>
    </w:r>
    <w:r>
      <w:rPr>
        <w:rFonts w:asciiTheme="majorHAnsi" w:hAnsiTheme="majorHAnsi"/>
        <w:szCs w:val="18"/>
      </w:rPr>
      <w:t xml:space="preserve"> AND ENERGY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E" w14:textId="77777777" w:rsidR="00526CA7" w:rsidRPr="00266D81" w:rsidRDefault="00085933" w:rsidP="005F3154">
    <w:pPr>
      <w:pStyle w:val="Footer"/>
      <w:pBdr>
        <w:top w:val="single" w:sz="4" w:space="1" w:color="D9D9D9" w:themeColor="background1" w:themeShade="D9"/>
      </w:pBdr>
    </w:pPr>
    <w:sdt>
      <w:sdtPr>
        <w:id w:val="703058014"/>
        <w:docPartObj>
          <w:docPartGallery w:val="Page Numbers (Bottom of Page)"/>
          <w:docPartUnique/>
        </w:docPartObj>
      </w:sdtPr>
      <w:sdtEndPr>
        <w:rPr>
          <w:color w:val="7F7F7F" w:themeColor="background1" w:themeShade="7F"/>
          <w:spacing w:val="60"/>
        </w:rPr>
      </w:sdtEndPr>
      <w:sdtContent>
        <w:r w:rsidR="00526CA7">
          <w:fldChar w:fldCharType="begin"/>
        </w:r>
        <w:r w:rsidR="00526CA7">
          <w:instrText xml:space="preserve"> PAGE   \* MERGEFORMAT </w:instrText>
        </w:r>
        <w:r w:rsidR="00526CA7">
          <w:fldChar w:fldCharType="separate"/>
        </w:r>
        <w:r w:rsidR="00526CA7">
          <w:rPr>
            <w:noProof/>
          </w:rPr>
          <w:t>5</w:t>
        </w:r>
        <w:r w:rsidR="00526CA7">
          <w:rPr>
            <w:noProof/>
          </w:rPr>
          <w:fldChar w:fldCharType="end"/>
        </w:r>
        <w:r w:rsidR="00526CA7">
          <w:t xml:space="preserve"> | </w:t>
        </w:r>
        <w:r w:rsidR="00526CA7" w:rsidRPr="00266D81">
          <w:t>Assessing Groundwater- Dependent Ecosystems: IESC Information Guidelines Explanatory Note</w:t>
        </w:r>
      </w:sdtContent>
    </w:sdt>
    <w:r w:rsidR="00526CA7">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32" w14:textId="77777777" w:rsidR="00526CA7" w:rsidRPr="005F3154" w:rsidRDefault="00526CA7" w:rsidP="005F3154">
    <w:pPr>
      <w:pStyle w:val="Footer"/>
      <w:tabs>
        <w:tab w:val="clear" w:pos="4513"/>
        <w:tab w:val="clear" w:pos="9026"/>
      </w:tabs>
      <w:jc w:val="center"/>
    </w:pPr>
    <w:r w:rsidRPr="00696692">
      <w:rPr>
        <w:rFonts w:asciiTheme="majorHAnsi" w:hAnsiTheme="majorHAnsi"/>
        <w:szCs w:val="18"/>
      </w:rPr>
      <w:t xml:space="preserve">THIS </w:t>
    </w:r>
    <w:r>
      <w:rPr>
        <w:rFonts w:asciiTheme="majorHAnsi" w:hAnsiTheme="majorHAnsi"/>
        <w:szCs w:val="18"/>
      </w:rPr>
      <w:t>INITIATIVE</w:t>
    </w:r>
    <w:r w:rsidRPr="00696692">
      <w:rPr>
        <w:rFonts w:asciiTheme="majorHAnsi" w:hAnsiTheme="majorHAnsi"/>
        <w:szCs w:val="18"/>
      </w:rPr>
      <w:t xml:space="preserve"> IS FUNDED BY THE</w:t>
    </w:r>
    <w:r>
      <w:rPr>
        <w:rFonts w:asciiTheme="majorHAnsi" w:hAnsiTheme="majorHAnsi"/>
        <w:szCs w:val="18"/>
      </w:rPr>
      <w:t xml:space="preserve"> AUSTRALIAN GOVERNMENT</w:t>
    </w:r>
    <w:r w:rsidRPr="00696692">
      <w:rPr>
        <w:rFonts w:asciiTheme="majorHAnsi" w:hAnsiTheme="majorHAnsi"/>
        <w:szCs w:val="18"/>
      </w:rPr>
      <w:t xml:space="preserve"> DEPARTMENT OF THE ENVIRONMENT</w:t>
    </w:r>
    <w:r>
      <w:rPr>
        <w:rFonts w:asciiTheme="majorHAnsi" w:hAnsiTheme="majorHAnsi"/>
        <w:szCs w:val="18"/>
      </w:rPr>
      <w:t xml:space="preserve"> AND ENERGY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37" w14:textId="77777777" w:rsidR="00526CA7" w:rsidRPr="00266D81" w:rsidRDefault="00085933" w:rsidP="005F3154">
    <w:pPr>
      <w:pStyle w:val="Footer"/>
      <w:pBdr>
        <w:top w:val="single" w:sz="4" w:space="1" w:color="D9D9D9" w:themeColor="background1" w:themeShade="D9"/>
      </w:pBdr>
    </w:pPr>
    <w:sdt>
      <w:sdtPr>
        <w:id w:val="-533352476"/>
        <w:docPartObj>
          <w:docPartGallery w:val="Page Numbers (Bottom of Page)"/>
          <w:docPartUnique/>
        </w:docPartObj>
      </w:sdtPr>
      <w:sdtEndPr>
        <w:rPr>
          <w:color w:val="7F7F7F" w:themeColor="background1" w:themeShade="7F"/>
          <w:spacing w:val="60"/>
        </w:rPr>
      </w:sdtEndPr>
      <w:sdtContent>
        <w:r w:rsidR="00526CA7">
          <w:fldChar w:fldCharType="begin"/>
        </w:r>
        <w:r w:rsidR="00526CA7">
          <w:instrText xml:space="preserve"> PAGE   \* MERGEFORMAT </w:instrText>
        </w:r>
        <w:r w:rsidR="00526CA7">
          <w:fldChar w:fldCharType="separate"/>
        </w:r>
        <w:r>
          <w:rPr>
            <w:noProof/>
          </w:rPr>
          <w:t>18</w:t>
        </w:r>
        <w:r w:rsidR="00526CA7">
          <w:rPr>
            <w:noProof/>
          </w:rPr>
          <w:fldChar w:fldCharType="end"/>
        </w:r>
        <w:r w:rsidR="00526CA7">
          <w:t xml:space="preserve"> | </w:t>
        </w:r>
        <w:r w:rsidR="00526CA7" w:rsidRPr="00266D81">
          <w:t>Assessing Groundwater- Dependent Ecosystems: IESC Information Guidelines Explanatory Note</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38" w14:textId="77777777" w:rsidR="00526CA7" w:rsidRPr="005F3154" w:rsidRDefault="00085933" w:rsidP="005F3154">
    <w:pPr>
      <w:pStyle w:val="Footer"/>
      <w:pBdr>
        <w:top w:val="single" w:sz="4" w:space="1" w:color="D9D9D9" w:themeColor="background1" w:themeShade="D9"/>
      </w:pBdr>
    </w:pPr>
    <w:sdt>
      <w:sdtPr>
        <w:id w:val="870265856"/>
        <w:docPartObj>
          <w:docPartGallery w:val="Page Numbers (Bottom of Page)"/>
          <w:docPartUnique/>
        </w:docPartObj>
      </w:sdtPr>
      <w:sdtEndPr>
        <w:rPr>
          <w:color w:val="7F7F7F" w:themeColor="background1" w:themeShade="7F"/>
          <w:spacing w:val="60"/>
        </w:rPr>
      </w:sdtEndPr>
      <w:sdtContent>
        <w:r w:rsidR="00526CA7">
          <w:fldChar w:fldCharType="begin"/>
        </w:r>
        <w:r w:rsidR="00526CA7">
          <w:instrText xml:space="preserve"> PAGE   \* MERGEFORMAT </w:instrText>
        </w:r>
        <w:r w:rsidR="00526CA7">
          <w:fldChar w:fldCharType="separate"/>
        </w:r>
        <w:r>
          <w:rPr>
            <w:noProof/>
          </w:rPr>
          <w:t>17</w:t>
        </w:r>
        <w:r w:rsidR="00526CA7">
          <w:rPr>
            <w:noProof/>
          </w:rPr>
          <w:fldChar w:fldCharType="end"/>
        </w:r>
        <w:r w:rsidR="00526CA7">
          <w:t xml:space="preserve"> | </w:t>
        </w:r>
        <w:r w:rsidR="00526CA7" w:rsidRPr="00266D81">
          <w:t>Assessing Groundwater- Dependent Ecosystems: IESC Information Guidelines Explanatory Note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8C31C" w14:textId="77777777" w:rsidR="00526CA7" w:rsidRDefault="00526CA7" w:rsidP="009964E7">
      <w:r>
        <w:separator/>
      </w:r>
    </w:p>
    <w:p w14:paraId="31C8C31D" w14:textId="77777777" w:rsidR="00526CA7" w:rsidRDefault="00526CA7"/>
  </w:footnote>
  <w:footnote w:type="continuationSeparator" w:id="0">
    <w:p w14:paraId="31C8C31E" w14:textId="77777777" w:rsidR="00526CA7" w:rsidRDefault="00526CA7" w:rsidP="009964E7">
      <w:r>
        <w:continuationSeparator/>
      </w:r>
    </w:p>
    <w:p w14:paraId="31C8C31F" w14:textId="77777777" w:rsidR="00526CA7" w:rsidRDefault="00526C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4" w14:textId="77777777" w:rsidR="00526CA7" w:rsidRDefault="00085933">
    <w:pPr>
      <w:pStyle w:val="Header"/>
    </w:pPr>
    <w:r>
      <w:rPr>
        <w:noProof/>
      </w:rPr>
      <w:pict w14:anchorId="31C8C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75" o:spid="_x0000_s2057" type="#_x0000_t136" style="position:absolute;margin-left:0;margin-top:0;width:422.55pt;height:253.5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35" w14:textId="77777777" w:rsidR="00526CA7" w:rsidRDefault="00085933">
    <w:pPr>
      <w:pStyle w:val="Header"/>
    </w:pPr>
    <w:r>
      <w:rPr>
        <w:noProof/>
      </w:rPr>
      <w:pict w14:anchorId="31C8C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84" o:spid="_x0000_s2066" type="#_x0000_t136" style="position:absolute;margin-left:0;margin-top:0;width:422.55pt;height:253.5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36" w14:textId="77777777" w:rsidR="00526CA7" w:rsidRDefault="00085933">
    <w:pPr>
      <w:pStyle w:val="Header"/>
    </w:pPr>
    <w:r>
      <w:rPr>
        <w:noProof/>
      </w:rPr>
      <w:pict w14:anchorId="31C8C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85" o:spid="_x0000_s2067" type="#_x0000_t136" style="position:absolute;margin-left:0;margin-top:0;width:422.55pt;height:253.5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39" w14:textId="77777777" w:rsidR="00526CA7" w:rsidRDefault="00085933">
    <w:pPr>
      <w:pStyle w:val="Header"/>
    </w:pPr>
    <w:r>
      <w:rPr>
        <w:noProof/>
      </w:rPr>
      <w:pict w14:anchorId="31C8C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83" o:spid="_x0000_s2065" type="#_x0000_t136" style="position:absolute;margin-left:0;margin-top:0;width:422.55pt;height:253.5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5" w14:textId="77777777" w:rsidR="00526CA7" w:rsidRDefault="00085933">
    <w:pPr>
      <w:pStyle w:val="Header"/>
    </w:pPr>
    <w:r>
      <w:rPr>
        <w:noProof/>
      </w:rPr>
      <w:pict w14:anchorId="31C8C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76" o:spid="_x0000_s2058" type="#_x0000_t136" style="position:absolute;margin-left:0;margin-top:0;width:422.55pt;height:253.5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8" w14:textId="35E152BB" w:rsidR="00526CA7" w:rsidRPr="00D33852" w:rsidRDefault="00BB6F57" w:rsidP="00D33852">
    <w:pPr>
      <w:pStyle w:val="Header"/>
      <w:rPr>
        <w:rFonts w:ascii="Arial" w:hAnsi="Arial" w:cs="Arial"/>
        <w:b/>
        <w:color w:val="auto"/>
      </w:rPr>
    </w:pPr>
    <w:r w:rsidRPr="00CF6D24">
      <w:rPr>
        <w:b/>
        <w:noProof/>
      </w:rPr>
      <mc:AlternateContent>
        <mc:Choice Requires="wps">
          <w:drawing>
            <wp:anchor distT="45720" distB="45720" distL="114300" distR="114300" simplePos="0" relativeHeight="251687936" behindDoc="0" locked="0" layoutInCell="1" allowOverlap="1" wp14:anchorId="202FAF2B" wp14:editId="553E36E9">
              <wp:simplePos x="0" y="0"/>
              <wp:positionH relativeFrom="column">
                <wp:posOffset>1423670</wp:posOffset>
              </wp:positionH>
              <wp:positionV relativeFrom="paragraph">
                <wp:posOffset>709295</wp:posOffset>
              </wp:positionV>
              <wp:extent cx="2733675" cy="2857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85750"/>
                      </a:xfrm>
                      <a:prstGeom prst="rect">
                        <a:avLst/>
                      </a:prstGeom>
                      <a:solidFill>
                        <a:srgbClr val="FFFFFF"/>
                      </a:solidFill>
                      <a:ln w="9525">
                        <a:noFill/>
                        <a:miter lim="800000"/>
                        <a:headEnd/>
                        <a:tailEnd/>
                      </a:ln>
                    </wps:spPr>
                    <wps:txbx>
                      <w:txbxContent>
                        <w:p w14:paraId="21F3D85B" w14:textId="77777777" w:rsidR="00BB6F57" w:rsidRPr="00772B54" w:rsidRDefault="00BB6F57" w:rsidP="00BB6F57">
                          <w:pPr>
                            <w:jc w:val="center"/>
                            <w:rPr>
                              <w:rFonts w:asciiTheme="majorHAnsi" w:hAnsiTheme="majorHAnsi"/>
                              <w:b/>
                              <w:color w:val="FF0000"/>
                            </w:rPr>
                          </w:pPr>
                          <w:r w:rsidRPr="00772B54">
                            <w:rPr>
                              <w:rFonts w:asciiTheme="majorHAnsi" w:hAnsiTheme="majorHAnsi"/>
                              <w:b/>
                              <w:color w:val="FF0000"/>
                            </w:rPr>
                            <w:t>Consultation draft – not for official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2FAF2B" id="_x0000_t202" coordsize="21600,21600" o:spt="202" path="m,l,21600r21600,l21600,xe">
              <v:stroke joinstyle="miter"/>
              <v:path gradientshapeok="t" o:connecttype="rect"/>
            </v:shapetype>
            <v:shape id="Text Box 2" o:spid="_x0000_s1027" type="#_x0000_t202" style="position:absolute;margin-left:112.1pt;margin-top:55.85pt;width:215.25pt;height: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" stroked="f">
              <v:textbox>
                <w:txbxContent>
                  <w:p w14:paraId="21F3D85B" w14:textId="77777777" w:rsidR="00BB6F57" w:rsidRPr="00772B54" w:rsidRDefault="00BB6F57" w:rsidP="00BB6F57">
                    <w:pPr>
                      <w:jc w:val="center"/>
                      <w:rPr>
                        <w:rFonts w:asciiTheme="majorHAnsi" w:hAnsiTheme="majorHAnsi"/>
                        <w:b/>
                        <w:color w:val="FF0000"/>
                      </w:rPr>
                    </w:pPr>
                    <w:r w:rsidRPr="00772B54">
                      <w:rPr>
                        <w:rFonts w:asciiTheme="majorHAnsi" w:hAnsiTheme="majorHAnsi"/>
                        <w:b/>
                        <w:color w:val="FF0000"/>
                      </w:rPr>
                      <w:t>Consultation draft – not for official use</w:t>
                    </w:r>
                  </w:p>
                </w:txbxContent>
              </v:textbox>
              <w10:wrap type="square"/>
            </v:shape>
          </w:pict>
        </mc:Fallback>
      </mc:AlternateContent>
    </w:r>
    <w:r w:rsidR="00085933">
      <w:rPr>
        <w:noProof/>
      </w:rPr>
      <w:pict w14:anchorId="31C8C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74" o:spid="_x0000_s2056" type="#_x0000_t136" style="position:absolute;margin-left:0;margin-top:0;width:422.55pt;height:253.5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526CA7" w:rsidRPr="00D33852">
      <w:rPr>
        <w:rFonts w:ascii="Arial" w:hAnsi="Arial" w:cs="Arial"/>
        <w:noProof/>
      </w:rPr>
      <w:drawing>
        <wp:anchor distT="0" distB="0" distL="114300" distR="114300" simplePos="0" relativeHeight="251659264" behindDoc="0" locked="0" layoutInCell="1" allowOverlap="1" wp14:anchorId="31C8C33D" wp14:editId="31C8C33E">
          <wp:simplePos x="0" y="0"/>
          <wp:positionH relativeFrom="page">
            <wp:align>left</wp:align>
          </wp:positionH>
          <wp:positionV relativeFrom="paragraph">
            <wp:posOffset>-391160</wp:posOffset>
          </wp:positionV>
          <wp:extent cx="7724775" cy="2000250"/>
          <wp:effectExtent l="0" t="0" r="9525" b="0"/>
          <wp:wrapSquare wrapText="bothSides"/>
          <wp:docPr id="84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t="8627" b="9021"/>
                  <a:stretch/>
                </pic:blipFill>
                <pic:spPr bwMode="auto">
                  <a:xfrm>
                    <a:off x="0" y="0"/>
                    <a:ext cx="7724775" cy="2000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26CA7" w:rsidRPr="00D33852">
      <w:rPr>
        <w:rFonts w:ascii="Arial" w:hAnsi="Arial" w:cs="Arial"/>
        <w:b/>
        <w:caps w:val="0"/>
        <w:color w:val="auto"/>
      </w:rPr>
      <w:t xml:space="preserve">Consultation </w:t>
    </w:r>
    <w:r w:rsidR="00526CA7">
      <w:rPr>
        <w:rFonts w:ascii="Arial" w:hAnsi="Arial" w:cs="Arial"/>
        <w:b/>
        <w:caps w:val="0"/>
        <w:color w:val="auto"/>
      </w:rPr>
      <w:t>o</w:t>
    </w:r>
    <w:r w:rsidR="00526CA7" w:rsidRPr="00D33852">
      <w:rPr>
        <w:rFonts w:ascii="Arial" w:hAnsi="Arial" w:cs="Arial"/>
        <w:b/>
        <w:caps w:val="0"/>
        <w:color w:val="auto"/>
      </w:rPr>
      <w:t>n Assessing Groundwater-Dependent Ecosystems: IESC Information Guidelines Explanatory Note.</w:t>
    </w:r>
  </w:p>
  <w:p w14:paraId="31C8C329" w14:textId="77777777" w:rsidR="00526CA7" w:rsidRPr="00D33852" w:rsidRDefault="00526CA7" w:rsidP="00D33852">
    <w:pPr>
      <w:pStyle w:val="Header"/>
      <w:rPr>
        <w:b/>
      </w:rPr>
    </w:pPr>
    <w:r>
      <w:rPr>
        <w:b/>
      </w:rPr>
      <w:t xml:space="preserve">n Guidelines </w:t>
    </w:r>
    <w:r w:rsidRPr="004C6527">
      <w:rPr>
        <w:b/>
      </w:rPr>
      <w:t>Explanatory Note.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B" w14:textId="77777777" w:rsidR="00526CA7" w:rsidRDefault="00085933">
    <w:pPr>
      <w:pStyle w:val="Header"/>
    </w:pPr>
    <w:r>
      <w:rPr>
        <w:noProof/>
      </w:rPr>
      <w:pict w14:anchorId="31C8C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78" o:spid="_x0000_s2060" type="#_x0000_t136" style="position:absolute;margin-left:0;margin-top:0;width:422.55pt;height:253.5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C" w14:textId="77777777" w:rsidR="00526CA7" w:rsidRDefault="00085933">
    <w:pPr>
      <w:pStyle w:val="Header"/>
    </w:pPr>
    <w:r>
      <w:rPr>
        <w:noProof/>
      </w:rPr>
      <w:pict w14:anchorId="31C8C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79" o:spid="_x0000_s2061" type="#_x0000_t136" style="position:absolute;margin-left:0;margin-top:0;width:422.55pt;height:253.5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2F" w14:textId="77777777" w:rsidR="00526CA7" w:rsidRDefault="00085933">
    <w:pPr>
      <w:pStyle w:val="Header"/>
    </w:pPr>
    <w:r>
      <w:rPr>
        <w:noProof/>
      </w:rPr>
      <w:pict w14:anchorId="31C8C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77" o:spid="_x0000_s2059" type="#_x0000_t136" style="position:absolute;margin-left:0;margin-top:0;width:422.55pt;height:253.5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30" w14:textId="77777777" w:rsidR="00526CA7" w:rsidRDefault="00085933">
    <w:pPr>
      <w:pStyle w:val="Header"/>
    </w:pPr>
    <w:r>
      <w:rPr>
        <w:noProof/>
      </w:rPr>
      <w:pict w14:anchorId="31C8C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81" o:spid="_x0000_s2063" type="#_x0000_t136" style="position:absolute;margin-left:0;margin-top:0;width:422.55pt;height:253.5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31" w14:textId="77777777" w:rsidR="00526CA7" w:rsidRDefault="00085933">
    <w:pPr>
      <w:pStyle w:val="Header"/>
    </w:pPr>
    <w:r>
      <w:rPr>
        <w:noProof/>
      </w:rPr>
      <w:pict w14:anchorId="31C8C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82" o:spid="_x0000_s2064" type="#_x0000_t136" style="position:absolute;margin-left:0;margin-top:0;width:422.55pt;height:253.5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333" w14:textId="77777777" w:rsidR="00526CA7" w:rsidRDefault="00085933" w:rsidP="00D33852">
    <w:pPr>
      <w:pStyle w:val="Header"/>
    </w:pPr>
    <w:r>
      <w:rPr>
        <w:noProof/>
      </w:rPr>
      <w:pict w14:anchorId="31C8C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09580" o:spid="_x0000_s2062" type="#_x0000_t136" style="position:absolute;margin-left:0;margin-top:0;width:422.55pt;height:253.5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526CA7">
      <w:rPr>
        <w:noProof/>
      </w:rPr>
      <mc:AlternateContent>
        <mc:Choice Requires="wps">
          <w:drawing>
            <wp:anchor distT="0" distB="0" distL="114300" distR="114300" simplePos="0" relativeHeight="251661312" behindDoc="1" locked="0" layoutInCell="0" allowOverlap="1" wp14:anchorId="31C8C345" wp14:editId="31C8C346">
              <wp:simplePos x="0" y="0"/>
              <wp:positionH relativeFrom="margin">
                <wp:align>center</wp:align>
              </wp:positionH>
              <wp:positionV relativeFrom="margin">
                <wp:align>center</wp:align>
              </wp:positionV>
              <wp:extent cx="5890895" cy="2356485"/>
              <wp:effectExtent l="0" t="1600200" r="0" b="1291590"/>
              <wp:wrapNone/>
              <wp:docPr id="18461" name="Text Box 18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0895" cy="2356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C8C354" w14:textId="77777777" w:rsidR="00526CA7" w:rsidRDefault="00526CA7" w:rsidP="00D33852">
                          <w:pPr>
                            <w:pStyle w:val="NormalWeb"/>
                            <w:spacing w:after="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C8C345" id="_x0000_t202" coordsize="21600,21600" o:spt="202" path="m,l,21600r21600,l21600,xe">
              <v:stroke joinstyle="miter"/>
              <v:path gradientshapeok="t" o:connecttype="rect"/>
            </v:shapetype>
            <v:shape id="Text Box 18461" o:spid="_x0000_s1027" type="#_x0000_t202" style="position:absolute;margin-left:0;margin-top:0;width:463.85pt;height:185.5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" o:allowincell="f" filled="f" stroked="f">
              <v:stroke joinstyle="round"/>
              <o:lock v:ext="edit" shapetype="t"/>
              <v:textbox style="mso-fit-shape-to-text:t">
                <w:txbxContent>
                  <w:p w14:paraId="31C8C354" w14:textId="77777777" w:rsidR="00526CA7" w:rsidRDefault="00526CA7" w:rsidP="00D33852">
                    <w:pPr>
                      <w:pStyle w:val="NormalWeb"/>
                      <w:spacing w:after="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31C8C334" w14:textId="77777777" w:rsidR="00526CA7" w:rsidRPr="007A3B92" w:rsidRDefault="00526CA7" w:rsidP="00D338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5651752"/>
    <w:multiLevelType w:val="hybridMultilevel"/>
    <w:tmpl w:val="C55CF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F75B98"/>
    <w:multiLevelType w:val="hybridMultilevel"/>
    <w:tmpl w:val="B83A02C0"/>
    <w:lvl w:ilvl="0" w:tplc="E61C7130">
      <w:start w:val="1"/>
      <w:numFmt w:val="bullet"/>
      <w:pStyle w:val="Bullets2"/>
      <w:lvlText w:val="o"/>
      <w:lvlJc w:val="left"/>
      <w:pPr>
        <w:ind w:left="2520" w:hanging="360"/>
      </w:pPr>
      <w:rPr>
        <w:rFonts w:ascii="Courier New" w:hAnsi="Courier New" w:cs="Courier New" w:hint="default"/>
        <w:color w:val="auto"/>
      </w:rPr>
    </w:lvl>
    <w:lvl w:ilvl="1" w:tplc="0C090003" w:tentative="1">
      <w:start w:val="1"/>
      <w:numFmt w:val="bullet"/>
      <w:lvlText w:val="o"/>
      <w:lvlJc w:val="left"/>
      <w:pPr>
        <w:tabs>
          <w:tab w:val="num" w:pos="2466"/>
        </w:tabs>
        <w:ind w:left="2466" w:hanging="360"/>
      </w:pPr>
      <w:rPr>
        <w:rFonts w:ascii="Courier New" w:hAnsi="Courier New" w:cs="Courier New" w:hint="default"/>
      </w:rPr>
    </w:lvl>
    <w:lvl w:ilvl="2" w:tplc="0C090005" w:tentative="1">
      <w:start w:val="1"/>
      <w:numFmt w:val="bullet"/>
      <w:lvlText w:val=""/>
      <w:lvlJc w:val="left"/>
      <w:pPr>
        <w:tabs>
          <w:tab w:val="num" w:pos="3186"/>
        </w:tabs>
        <w:ind w:left="3186" w:hanging="360"/>
      </w:pPr>
      <w:rPr>
        <w:rFonts w:ascii="Wingdings" w:hAnsi="Wingdings" w:hint="default"/>
      </w:rPr>
    </w:lvl>
    <w:lvl w:ilvl="3" w:tplc="0C090001" w:tentative="1">
      <w:start w:val="1"/>
      <w:numFmt w:val="bullet"/>
      <w:lvlText w:val=""/>
      <w:lvlJc w:val="left"/>
      <w:pPr>
        <w:tabs>
          <w:tab w:val="num" w:pos="3906"/>
        </w:tabs>
        <w:ind w:left="3906" w:hanging="360"/>
      </w:pPr>
      <w:rPr>
        <w:rFonts w:ascii="Symbol" w:hAnsi="Symbol" w:hint="default"/>
      </w:rPr>
    </w:lvl>
    <w:lvl w:ilvl="4" w:tplc="0C090003" w:tentative="1">
      <w:start w:val="1"/>
      <w:numFmt w:val="bullet"/>
      <w:lvlText w:val="o"/>
      <w:lvlJc w:val="left"/>
      <w:pPr>
        <w:tabs>
          <w:tab w:val="num" w:pos="4626"/>
        </w:tabs>
        <w:ind w:left="4626" w:hanging="360"/>
      </w:pPr>
      <w:rPr>
        <w:rFonts w:ascii="Courier New" w:hAnsi="Courier New" w:cs="Courier New" w:hint="default"/>
      </w:rPr>
    </w:lvl>
    <w:lvl w:ilvl="5" w:tplc="0C090005" w:tentative="1">
      <w:start w:val="1"/>
      <w:numFmt w:val="bullet"/>
      <w:lvlText w:val=""/>
      <w:lvlJc w:val="left"/>
      <w:pPr>
        <w:tabs>
          <w:tab w:val="num" w:pos="5346"/>
        </w:tabs>
        <w:ind w:left="5346" w:hanging="360"/>
      </w:pPr>
      <w:rPr>
        <w:rFonts w:ascii="Wingdings" w:hAnsi="Wingdings" w:hint="default"/>
      </w:rPr>
    </w:lvl>
    <w:lvl w:ilvl="6" w:tplc="0C090001" w:tentative="1">
      <w:start w:val="1"/>
      <w:numFmt w:val="bullet"/>
      <w:lvlText w:val=""/>
      <w:lvlJc w:val="left"/>
      <w:pPr>
        <w:tabs>
          <w:tab w:val="num" w:pos="6066"/>
        </w:tabs>
        <w:ind w:left="6066" w:hanging="360"/>
      </w:pPr>
      <w:rPr>
        <w:rFonts w:ascii="Symbol" w:hAnsi="Symbol" w:hint="default"/>
      </w:rPr>
    </w:lvl>
    <w:lvl w:ilvl="7" w:tplc="0C090003" w:tentative="1">
      <w:start w:val="1"/>
      <w:numFmt w:val="bullet"/>
      <w:lvlText w:val="o"/>
      <w:lvlJc w:val="left"/>
      <w:pPr>
        <w:tabs>
          <w:tab w:val="num" w:pos="6786"/>
        </w:tabs>
        <w:ind w:left="6786" w:hanging="360"/>
      </w:pPr>
      <w:rPr>
        <w:rFonts w:ascii="Courier New" w:hAnsi="Courier New" w:cs="Courier New" w:hint="default"/>
      </w:rPr>
    </w:lvl>
    <w:lvl w:ilvl="8" w:tplc="0C090005" w:tentative="1">
      <w:start w:val="1"/>
      <w:numFmt w:val="bullet"/>
      <w:lvlText w:val=""/>
      <w:lvlJc w:val="left"/>
      <w:pPr>
        <w:tabs>
          <w:tab w:val="num" w:pos="7506"/>
        </w:tabs>
        <w:ind w:left="7506" w:hanging="360"/>
      </w:pPr>
      <w:rPr>
        <w:rFonts w:ascii="Wingdings" w:hAnsi="Wingdings" w:hint="default"/>
      </w:rPr>
    </w:lvl>
  </w:abstractNum>
  <w:abstractNum w:abstractNumId="7" w15:restartNumberingAfterBreak="0">
    <w:nsid w:val="0761369D"/>
    <w:multiLevelType w:val="hybridMultilevel"/>
    <w:tmpl w:val="B28E9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951574"/>
    <w:multiLevelType w:val="hybridMultilevel"/>
    <w:tmpl w:val="8F16B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21440F"/>
    <w:multiLevelType w:val="hybridMultilevel"/>
    <w:tmpl w:val="7AC667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18129C"/>
    <w:multiLevelType w:val="hybridMultilevel"/>
    <w:tmpl w:val="3B98B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4498B"/>
    <w:multiLevelType w:val="hybridMultilevel"/>
    <w:tmpl w:val="2BFCC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15:restartNumberingAfterBreak="0">
    <w:nsid w:val="215563F2"/>
    <w:multiLevelType w:val="hybridMultilevel"/>
    <w:tmpl w:val="E8D83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F005CE"/>
    <w:multiLevelType w:val="hybridMultilevel"/>
    <w:tmpl w:val="DC426FF6"/>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6" w15:restartNumberingAfterBreak="0">
    <w:nsid w:val="27D96ABD"/>
    <w:multiLevelType w:val="hybridMultilevel"/>
    <w:tmpl w:val="BAC8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0" w15:restartNumberingAfterBreak="0">
    <w:nsid w:val="3EEA54E0"/>
    <w:multiLevelType w:val="hybridMultilevel"/>
    <w:tmpl w:val="B70614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265682E"/>
    <w:multiLevelType w:val="multilevel"/>
    <w:tmpl w:val="6E74B694"/>
    <w:styleLink w:val="Bullets"/>
    <w:lvl w:ilvl="0">
      <w:start w:val="1"/>
      <w:numFmt w:val="bullet"/>
      <w:pStyle w:val="ListBullet"/>
      <w:lvlText w:val=""/>
      <w:lvlJc w:val="left"/>
      <w:pPr>
        <w:tabs>
          <w:tab w:val="num" w:pos="993"/>
        </w:tabs>
        <w:ind w:left="993" w:hanging="199"/>
      </w:pPr>
      <w:rPr>
        <w:rFonts w:ascii="Symbol" w:hAnsi="Symbol" w:hint="default"/>
      </w:rPr>
    </w:lvl>
    <w:lvl w:ilvl="1">
      <w:start w:val="1"/>
      <w:numFmt w:val="bullet"/>
      <w:pStyle w:val="ListBullet2"/>
      <w:lvlText w:val="–"/>
      <w:lvlJc w:val="left"/>
      <w:pPr>
        <w:tabs>
          <w:tab w:val="num" w:pos="1191"/>
        </w:tabs>
        <w:ind w:left="1191" w:hanging="198"/>
      </w:pPr>
      <w:rPr>
        <w:rFonts w:ascii="Arial" w:hAnsi="Arial" w:hint="default"/>
      </w:rPr>
    </w:lvl>
    <w:lvl w:ilvl="2">
      <w:start w:val="1"/>
      <w:numFmt w:val="bullet"/>
      <w:lvlText w:val="–"/>
      <w:lvlJc w:val="left"/>
      <w:pPr>
        <w:tabs>
          <w:tab w:val="num" w:pos="1389"/>
        </w:tabs>
        <w:ind w:left="1389" w:hanging="198"/>
      </w:pPr>
      <w:rPr>
        <w:rFonts w:ascii="Arial" w:hAnsi="Arial" w:hint="default"/>
      </w:rPr>
    </w:lvl>
    <w:lvl w:ilvl="3">
      <w:start w:val="1"/>
      <w:numFmt w:val="none"/>
      <w:lvlText w:val=""/>
      <w:lvlJc w:val="left"/>
      <w:pPr>
        <w:ind w:left="3674" w:hanging="360"/>
      </w:pPr>
      <w:rPr>
        <w:rFonts w:cs="Times New Roman" w:hint="default"/>
      </w:rPr>
    </w:lvl>
    <w:lvl w:ilvl="4">
      <w:start w:val="1"/>
      <w:numFmt w:val="none"/>
      <w:lvlText w:val=""/>
      <w:lvlJc w:val="left"/>
      <w:pPr>
        <w:ind w:left="4394" w:hanging="360"/>
      </w:pPr>
      <w:rPr>
        <w:rFonts w:cs="Times New Roman" w:hint="default"/>
      </w:rPr>
    </w:lvl>
    <w:lvl w:ilvl="5">
      <w:start w:val="1"/>
      <w:numFmt w:val="none"/>
      <w:lvlText w:val=""/>
      <w:lvlJc w:val="left"/>
      <w:pPr>
        <w:ind w:left="5114" w:hanging="360"/>
      </w:pPr>
      <w:rPr>
        <w:rFonts w:cs="Times New Roman" w:hint="default"/>
      </w:rPr>
    </w:lvl>
    <w:lvl w:ilvl="6">
      <w:start w:val="1"/>
      <w:numFmt w:val="none"/>
      <w:lvlText w:val=""/>
      <w:lvlJc w:val="left"/>
      <w:pPr>
        <w:ind w:left="5834" w:hanging="360"/>
      </w:pPr>
      <w:rPr>
        <w:rFonts w:cs="Times New Roman" w:hint="default"/>
      </w:rPr>
    </w:lvl>
    <w:lvl w:ilvl="7">
      <w:start w:val="1"/>
      <w:numFmt w:val="none"/>
      <w:lvlText w:val=""/>
      <w:lvlJc w:val="left"/>
      <w:pPr>
        <w:ind w:left="6554" w:hanging="360"/>
      </w:pPr>
      <w:rPr>
        <w:rFonts w:cs="Times New Roman" w:hint="default"/>
      </w:rPr>
    </w:lvl>
    <w:lvl w:ilvl="8">
      <w:start w:val="1"/>
      <w:numFmt w:val="none"/>
      <w:lvlText w:val=""/>
      <w:lvlJc w:val="left"/>
      <w:pPr>
        <w:ind w:left="7274" w:hanging="360"/>
      </w:pPr>
      <w:rPr>
        <w:rFonts w:cs="Times New Roman" w:hint="default"/>
      </w:rPr>
    </w:lvl>
  </w:abstractNum>
  <w:abstractNum w:abstractNumId="22" w15:restartNumberingAfterBreak="0">
    <w:nsid w:val="42916727"/>
    <w:multiLevelType w:val="hybridMultilevel"/>
    <w:tmpl w:val="0B0AF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481479"/>
    <w:multiLevelType w:val="hybridMultilevel"/>
    <w:tmpl w:val="0F048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717818"/>
    <w:multiLevelType w:val="hybridMultilevel"/>
    <w:tmpl w:val="0CDEF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9B4A70"/>
    <w:multiLevelType w:val="hybridMultilevel"/>
    <w:tmpl w:val="464ADC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1A5B5A"/>
    <w:multiLevelType w:val="hybridMultilevel"/>
    <w:tmpl w:val="33B05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814324"/>
    <w:multiLevelType w:val="hybridMultilevel"/>
    <w:tmpl w:val="F6A0F6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223D35"/>
    <w:multiLevelType w:val="hybridMultilevel"/>
    <w:tmpl w:val="BF92F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0839B5"/>
    <w:multiLevelType w:val="hybridMultilevel"/>
    <w:tmpl w:val="A0EADDD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1C6CDE"/>
    <w:multiLevelType w:val="hybridMultilevel"/>
    <w:tmpl w:val="65283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5A7CE7"/>
    <w:multiLevelType w:val="hybridMultilevel"/>
    <w:tmpl w:val="DD50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D727AA"/>
    <w:multiLevelType w:val="hybridMultilevel"/>
    <w:tmpl w:val="CF0EC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444BE6"/>
    <w:multiLevelType w:val="multilevel"/>
    <w:tmpl w:val="85A4627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17" w:hanging="576"/>
      </w:pPr>
      <w:rPr>
        <w:rFonts w:cs="Times New Roman"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5"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7B55AF"/>
    <w:multiLevelType w:val="hybridMultilevel"/>
    <w:tmpl w:val="BA2A5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A7682F"/>
    <w:multiLevelType w:val="hybridMultilevel"/>
    <w:tmpl w:val="2208E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9" w15:restartNumberingAfterBreak="0">
    <w:nsid w:val="5FE656BD"/>
    <w:multiLevelType w:val="hybridMultilevel"/>
    <w:tmpl w:val="D368E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1" w15:restartNumberingAfterBreak="0">
    <w:nsid w:val="6C374522"/>
    <w:multiLevelType w:val="hybridMultilevel"/>
    <w:tmpl w:val="C1A8D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C24B95"/>
    <w:multiLevelType w:val="hybridMultilevel"/>
    <w:tmpl w:val="8C181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4" w15:restartNumberingAfterBreak="0">
    <w:nsid w:val="76C827D4"/>
    <w:multiLevelType w:val="hybridMultilevel"/>
    <w:tmpl w:val="388CE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0244DF"/>
    <w:multiLevelType w:val="hybridMultilevel"/>
    <w:tmpl w:val="E4D8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5E2D99"/>
    <w:multiLevelType w:val="hybridMultilevel"/>
    <w:tmpl w:val="1B421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AA58DD"/>
    <w:multiLevelType w:val="hybridMultilevel"/>
    <w:tmpl w:val="B934A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1"/>
  </w:num>
  <w:num w:numId="6">
    <w:abstractNumId w:val="13"/>
  </w:num>
  <w:num w:numId="7">
    <w:abstractNumId w:val="12"/>
  </w:num>
  <w:num w:numId="8">
    <w:abstractNumId w:val="34"/>
  </w:num>
  <w:num w:numId="9">
    <w:abstractNumId w:val="18"/>
  </w:num>
  <w:num w:numId="10">
    <w:abstractNumId w:val="17"/>
  </w:num>
  <w:num w:numId="11">
    <w:abstractNumId w:val="38"/>
  </w:num>
  <w:num w:numId="12">
    <w:abstractNumId w:val="0"/>
  </w:num>
  <w:num w:numId="13">
    <w:abstractNumId w:val="33"/>
  </w:num>
  <w:num w:numId="14">
    <w:abstractNumId w:val="40"/>
  </w:num>
  <w:num w:numId="15">
    <w:abstractNumId w:val="43"/>
  </w:num>
  <w:num w:numId="16">
    <w:abstractNumId w:val="35"/>
  </w:num>
  <w:num w:numId="17">
    <w:abstractNumId w:val="19"/>
  </w:num>
  <w:num w:numId="18">
    <w:abstractNumId w:val="6"/>
  </w:num>
  <w:num w:numId="19">
    <w:abstractNumId w:val="20"/>
  </w:num>
  <w:num w:numId="20">
    <w:abstractNumId w:val="45"/>
  </w:num>
  <w:num w:numId="21">
    <w:abstractNumId w:val="15"/>
  </w:num>
  <w:num w:numId="22">
    <w:abstractNumId w:val="7"/>
  </w:num>
  <w:num w:numId="23">
    <w:abstractNumId w:val="5"/>
  </w:num>
  <w:num w:numId="24">
    <w:abstractNumId w:val="30"/>
  </w:num>
  <w:num w:numId="25">
    <w:abstractNumId w:val="26"/>
  </w:num>
  <w:num w:numId="26">
    <w:abstractNumId w:val="25"/>
  </w:num>
  <w:num w:numId="27">
    <w:abstractNumId w:val="44"/>
  </w:num>
  <w:num w:numId="28">
    <w:abstractNumId w:val="24"/>
  </w:num>
  <w:num w:numId="29">
    <w:abstractNumId w:val="11"/>
  </w:num>
  <w:num w:numId="30">
    <w:abstractNumId w:val="31"/>
  </w:num>
  <w:num w:numId="31">
    <w:abstractNumId w:val="22"/>
  </w:num>
  <w:num w:numId="32">
    <w:abstractNumId w:val="29"/>
  </w:num>
  <w:num w:numId="33">
    <w:abstractNumId w:val="10"/>
  </w:num>
  <w:num w:numId="34">
    <w:abstractNumId w:val="37"/>
  </w:num>
  <w:num w:numId="35">
    <w:abstractNumId w:val="36"/>
  </w:num>
  <w:num w:numId="36">
    <w:abstractNumId w:val="42"/>
  </w:num>
  <w:num w:numId="37">
    <w:abstractNumId w:val="23"/>
  </w:num>
  <w:num w:numId="38">
    <w:abstractNumId w:val="14"/>
  </w:num>
  <w:num w:numId="39">
    <w:abstractNumId w:val="28"/>
  </w:num>
  <w:num w:numId="40">
    <w:abstractNumId w:val="39"/>
  </w:num>
  <w:num w:numId="41">
    <w:abstractNumId w:val="16"/>
  </w:num>
  <w:num w:numId="42">
    <w:abstractNumId w:val="47"/>
  </w:num>
  <w:num w:numId="43">
    <w:abstractNumId w:val="33"/>
  </w:num>
  <w:num w:numId="44">
    <w:abstractNumId w:val="33"/>
    <w:lvlOverride w:ilvl="0">
      <w:startOverride w:val="5"/>
    </w:lvlOverride>
    <w:lvlOverride w:ilvl="1">
      <w:startOverride w:val="3"/>
    </w:lvlOverride>
    <w:lvlOverride w:ilvl="2">
      <w:startOverride w:val="3"/>
    </w:lvlOverride>
  </w:num>
  <w:num w:numId="45">
    <w:abstractNumId w:val="27"/>
  </w:num>
  <w:num w:numId="46">
    <w:abstractNumId w:val="41"/>
  </w:num>
  <w:num w:numId="47">
    <w:abstractNumId w:val="8"/>
  </w:num>
  <w:num w:numId="48">
    <w:abstractNumId w:val="46"/>
  </w:num>
  <w:num w:numId="49">
    <w:abstractNumId w:val="9"/>
  </w:num>
  <w:num w:numId="50">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10"/>
  <w:displayHorizontalDrawingGridEvery w:val="2"/>
  <w:characterSpacingControl w:val="doNotCompress"/>
  <w:hdrShapeDefaults>
    <o:shapedefaults v:ext="edit" spidmax="2068" style="mso-position-vertical-relative:page;v-text-anchor:bottom" fill="f" fillcolor="white" stroke="f">
      <v:fill color="white" on="f"/>
      <v:stroke on="f"/>
      <v:textbox inset="0,0,0,0"/>
      <o:colormru v:ext="edit" colors="#ddd,#f8f8f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 w:name="SecurityClassificationInHeader" w:val="False"/>
  </w:docVars>
  <w:rsids>
    <w:rsidRoot w:val="007A727E"/>
    <w:rsid w:val="00000D10"/>
    <w:rsid w:val="00000EEA"/>
    <w:rsid w:val="0000160C"/>
    <w:rsid w:val="00001864"/>
    <w:rsid w:val="0000258D"/>
    <w:rsid w:val="00002AA7"/>
    <w:rsid w:val="000031E1"/>
    <w:rsid w:val="00003970"/>
    <w:rsid w:val="00004378"/>
    <w:rsid w:val="00005040"/>
    <w:rsid w:val="00006988"/>
    <w:rsid w:val="00011FC6"/>
    <w:rsid w:val="000126EB"/>
    <w:rsid w:val="00012C16"/>
    <w:rsid w:val="000133D3"/>
    <w:rsid w:val="00013771"/>
    <w:rsid w:val="00015815"/>
    <w:rsid w:val="00015E82"/>
    <w:rsid w:val="000165B9"/>
    <w:rsid w:val="00017663"/>
    <w:rsid w:val="0001775B"/>
    <w:rsid w:val="00022CFC"/>
    <w:rsid w:val="0002482A"/>
    <w:rsid w:val="00024983"/>
    <w:rsid w:val="00024F6E"/>
    <w:rsid w:val="00025C51"/>
    <w:rsid w:val="00025D56"/>
    <w:rsid w:val="00025FD5"/>
    <w:rsid w:val="0002686D"/>
    <w:rsid w:val="00026971"/>
    <w:rsid w:val="00026C57"/>
    <w:rsid w:val="00027E98"/>
    <w:rsid w:val="000312EA"/>
    <w:rsid w:val="000316D4"/>
    <w:rsid w:val="0003217B"/>
    <w:rsid w:val="000321C5"/>
    <w:rsid w:val="000329C4"/>
    <w:rsid w:val="00032C10"/>
    <w:rsid w:val="000331D4"/>
    <w:rsid w:val="000342B1"/>
    <w:rsid w:val="00034D6D"/>
    <w:rsid w:val="00035F86"/>
    <w:rsid w:val="0004067E"/>
    <w:rsid w:val="00042886"/>
    <w:rsid w:val="00042A1A"/>
    <w:rsid w:val="00043876"/>
    <w:rsid w:val="000443E1"/>
    <w:rsid w:val="00045991"/>
    <w:rsid w:val="000460FA"/>
    <w:rsid w:val="00046533"/>
    <w:rsid w:val="0005048B"/>
    <w:rsid w:val="00050D82"/>
    <w:rsid w:val="00050F6B"/>
    <w:rsid w:val="00051219"/>
    <w:rsid w:val="00051456"/>
    <w:rsid w:val="00051D03"/>
    <w:rsid w:val="0005226F"/>
    <w:rsid w:val="0005357B"/>
    <w:rsid w:val="000535B9"/>
    <w:rsid w:val="0005371F"/>
    <w:rsid w:val="00053E83"/>
    <w:rsid w:val="00056FD0"/>
    <w:rsid w:val="00056FD8"/>
    <w:rsid w:val="000579EC"/>
    <w:rsid w:val="000604B8"/>
    <w:rsid w:val="0006103B"/>
    <w:rsid w:val="00061E38"/>
    <w:rsid w:val="00063AC0"/>
    <w:rsid w:val="00064612"/>
    <w:rsid w:val="00065161"/>
    <w:rsid w:val="000658B9"/>
    <w:rsid w:val="000660A5"/>
    <w:rsid w:val="000667A4"/>
    <w:rsid w:val="000673E4"/>
    <w:rsid w:val="00067B0B"/>
    <w:rsid w:val="00067B61"/>
    <w:rsid w:val="0007160E"/>
    <w:rsid w:val="0007246A"/>
    <w:rsid w:val="00072DDD"/>
    <w:rsid w:val="00073B2C"/>
    <w:rsid w:val="00073D8A"/>
    <w:rsid w:val="000740AC"/>
    <w:rsid w:val="00074DFE"/>
    <w:rsid w:val="00075774"/>
    <w:rsid w:val="000758FF"/>
    <w:rsid w:val="00075B0B"/>
    <w:rsid w:val="000808BE"/>
    <w:rsid w:val="000815C2"/>
    <w:rsid w:val="00083CBE"/>
    <w:rsid w:val="00083FBD"/>
    <w:rsid w:val="00084275"/>
    <w:rsid w:val="00085933"/>
    <w:rsid w:val="00085DC0"/>
    <w:rsid w:val="00086194"/>
    <w:rsid w:val="00087ADA"/>
    <w:rsid w:val="00094757"/>
    <w:rsid w:val="00095AB1"/>
    <w:rsid w:val="00096AAC"/>
    <w:rsid w:val="000979AD"/>
    <w:rsid w:val="000A024C"/>
    <w:rsid w:val="000A03C5"/>
    <w:rsid w:val="000A3184"/>
    <w:rsid w:val="000A37CF"/>
    <w:rsid w:val="000A5FFB"/>
    <w:rsid w:val="000A6EFC"/>
    <w:rsid w:val="000A6F40"/>
    <w:rsid w:val="000A72A9"/>
    <w:rsid w:val="000B0A3D"/>
    <w:rsid w:val="000B0A8C"/>
    <w:rsid w:val="000B1470"/>
    <w:rsid w:val="000B2251"/>
    <w:rsid w:val="000B3486"/>
    <w:rsid w:val="000B3864"/>
    <w:rsid w:val="000B3921"/>
    <w:rsid w:val="000B47E0"/>
    <w:rsid w:val="000B6643"/>
    <w:rsid w:val="000B6B4C"/>
    <w:rsid w:val="000C02C0"/>
    <w:rsid w:val="000C05F1"/>
    <w:rsid w:val="000C0940"/>
    <w:rsid w:val="000C0981"/>
    <w:rsid w:val="000C0E41"/>
    <w:rsid w:val="000C1732"/>
    <w:rsid w:val="000C2688"/>
    <w:rsid w:val="000C4051"/>
    <w:rsid w:val="000C5523"/>
    <w:rsid w:val="000C61C0"/>
    <w:rsid w:val="000C6389"/>
    <w:rsid w:val="000C6EC2"/>
    <w:rsid w:val="000C7D15"/>
    <w:rsid w:val="000D0298"/>
    <w:rsid w:val="000D19DE"/>
    <w:rsid w:val="000D1A24"/>
    <w:rsid w:val="000D2C0D"/>
    <w:rsid w:val="000D436B"/>
    <w:rsid w:val="000D443F"/>
    <w:rsid w:val="000D5F1F"/>
    <w:rsid w:val="000D6B9E"/>
    <w:rsid w:val="000D6D2F"/>
    <w:rsid w:val="000E1CF3"/>
    <w:rsid w:val="000E2422"/>
    <w:rsid w:val="000E3BF2"/>
    <w:rsid w:val="000E52A5"/>
    <w:rsid w:val="000E599F"/>
    <w:rsid w:val="000E76BC"/>
    <w:rsid w:val="000F1DA8"/>
    <w:rsid w:val="000F1EC3"/>
    <w:rsid w:val="000F1FE4"/>
    <w:rsid w:val="000F29B3"/>
    <w:rsid w:val="000F3E4E"/>
    <w:rsid w:val="000F4491"/>
    <w:rsid w:val="000F7151"/>
    <w:rsid w:val="000F758D"/>
    <w:rsid w:val="00101A2A"/>
    <w:rsid w:val="00102722"/>
    <w:rsid w:val="00102EC7"/>
    <w:rsid w:val="00103865"/>
    <w:rsid w:val="0010472A"/>
    <w:rsid w:val="00104CE1"/>
    <w:rsid w:val="00104F89"/>
    <w:rsid w:val="00104FBD"/>
    <w:rsid w:val="00106324"/>
    <w:rsid w:val="001067F0"/>
    <w:rsid w:val="001068F9"/>
    <w:rsid w:val="00107A1B"/>
    <w:rsid w:val="00107B5A"/>
    <w:rsid w:val="001100D4"/>
    <w:rsid w:val="00110214"/>
    <w:rsid w:val="00112315"/>
    <w:rsid w:val="0011283C"/>
    <w:rsid w:val="0011346D"/>
    <w:rsid w:val="00113A72"/>
    <w:rsid w:val="0011470B"/>
    <w:rsid w:val="00114B30"/>
    <w:rsid w:val="00116C3E"/>
    <w:rsid w:val="00117E59"/>
    <w:rsid w:val="00120A1A"/>
    <w:rsid w:val="0012201E"/>
    <w:rsid w:val="001223DC"/>
    <w:rsid w:val="0012307E"/>
    <w:rsid w:val="00123BCC"/>
    <w:rsid w:val="00123FD7"/>
    <w:rsid w:val="001249CC"/>
    <w:rsid w:val="00125CFB"/>
    <w:rsid w:val="001264CB"/>
    <w:rsid w:val="00126D1B"/>
    <w:rsid w:val="0013089B"/>
    <w:rsid w:val="00130947"/>
    <w:rsid w:val="00132F76"/>
    <w:rsid w:val="00133008"/>
    <w:rsid w:val="0013384F"/>
    <w:rsid w:val="00134FC3"/>
    <w:rsid w:val="001362D8"/>
    <w:rsid w:val="00136736"/>
    <w:rsid w:val="00136B7F"/>
    <w:rsid w:val="00137979"/>
    <w:rsid w:val="001404BB"/>
    <w:rsid w:val="00140DB3"/>
    <w:rsid w:val="00141D5A"/>
    <w:rsid w:val="001444D4"/>
    <w:rsid w:val="00145F26"/>
    <w:rsid w:val="00147318"/>
    <w:rsid w:val="0015380A"/>
    <w:rsid w:val="00154168"/>
    <w:rsid w:val="0015605C"/>
    <w:rsid w:val="00156751"/>
    <w:rsid w:val="00156AB1"/>
    <w:rsid w:val="00156CE6"/>
    <w:rsid w:val="00157237"/>
    <w:rsid w:val="001573D6"/>
    <w:rsid w:val="00157AAE"/>
    <w:rsid w:val="00160B14"/>
    <w:rsid w:val="00161BB6"/>
    <w:rsid w:val="001630D9"/>
    <w:rsid w:val="001653C7"/>
    <w:rsid w:val="00167FE1"/>
    <w:rsid w:val="001708B3"/>
    <w:rsid w:val="00170CC7"/>
    <w:rsid w:val="00171D85"/>
    <w:rsid w:val="00172748"/>
    <w:rsid w:val="00173A2F"/>
    <w:rsid w:val="00173C4D"/>
    <w:rsid w:val="00173E4F"/>
    <w:rsid w:val="00174A49"/>
    <w:rsid w:val="0017502C"/>
    <w:rsid w:val="00175388"/>
    <w:rsid w:val="0017572A"/>
    <w:rsid w:val="0017590B"/>
    <w:rsid w:val="00177270"/>
    <w:rsid w:val="001772D6"/>
    <w:rsid w:val="0017758B"/>
    <w:rsid w:val="00185CD8"/>
    <w:rsid w:val="001867FB"/>
    <w:rsid w:val="00186E1C"/>
    <w:rsid w:val="00190E0B"/>
    <w:rsid w:val="0019128F"/>
    <w:rsid w:val="00191DCD"/>
    <w:rsid w:val="00192E59"/>
    <w:rsid w:val="00193162"/>
    <w:rsid w:val="00194542"/>
    <w:rsid w:val="001945E2"/>
    <w:rsid w:val="00195301"/>
    <w:rsid w:val="00196146"/>
    <w:rsid w:val="001A0005"/>
    <w:rsid w:val="001A0109"/>
    <w:rsid w:val="001A1020"/>
    <w:rsid w:val="001A26B3"/>
    <w:rsid w:val="001A49F6"/>
    <w:rsid w:val="001A5682"/>
    <w:rsid w:val="001A5A60"/>
    <w:rsid w:val="001B00A0"/>
    <w:rsid w:val="001B09B0"/>
    <w:rsid w:val="001B09EA"/>
    <w:rsid w:val="001B0BC3"/>
    <w:rsid w:val="001B1EAF"/>
    <w:rsid w:val="001B23ED"/>
    <w:rsid w:val="001B336D"/>
    <w:rsid w:val="001B34DE"/>
    <w:rsid w:val="001B49B0"/>
    <w:rsid w:val="001B4BB2"/>
    <w:rsid w:val="001B4D4F"/>
    <w:rsid w:val="001B5EA3"/>
    <w:rsid w:val="001B6CB5"/>
    <w:rsid w:val="001B79DA"/>
    <w:rsid w:val="001B7BF3"/>
    <w:rsid w:val="001C07F5"/>
    <w:rsid w:val="001C274C"/>
    <w:rsid w:val="001C2A55"/>
    <w:rsid w:val="001C3137"/>
    <w:rsid w:val="001C4736"/>
    <w:rsid w:val="001C4D2C"/>
    <w:rsid w:val="001C540A"/>
    <w:rsid w:val="001C5CA5"/>
    <w:rsid w:val="001C6336"/>
    <w:rsid w:val="001C663B"/>
    <w:rsid w:val="001C6D92"/>
    <w:rsid w:val="001C7564"/>
    <w:rsid w:val="001D08E6"/>
    <w:rsid w:val="001D1412"/>
    <w:rsid w:val="001D19B5"/>
    <w:rsid w:val="001D36DC"/>
    <w:rsid w:val="001D38EA"/>
    <w:rsid w:val="001D400D"/>
    <w:rsid w:val="001D49A6"/>
    <w:rsid w:val="001D4A77"/>
    <w:rsid w:val="001D4D59"/>
    <w:rsid w:val="001D6DC5"/>
    <w:rsid w:val="001D709D"/>
    <w:rsid w:val="001D713C"/>
    <w:rsid w:val="001E0B9C"/>
    <w:rsid w:val="001E2D97"/>
    <w:rsid w:val="001E30E8"/>
    <w:rsid w:val="001E36A4"/>
    <w:rsid w:val="001E36E2"/>
    <w:rsid w:val="001E4C59"/>
    <w:rsid w:val="001E531C"/>
    <w:rsid w:val="001F26CB"/>
    <w:rsid w:val="001F3032"/>
    <w:rsid w:val="001F7D79"/>
    <w:rsid w:val="0020034E"/>
    <w:rsid w:val="0020092E"/>
    <w:rsid w:val="002010C7"/>
    <w:rsid w:val="00201595"/>
    <w:rsid w:val="00201C06"/>
    <w:rsid w:val="0020453F"/>
    <w:rsid w:val="0020674B"/>
    <w:rsid w:val="00207117"/>
    <w:rsid w:val="002101A4"/>
    <w:rsid w:val="0021023E"/>
    <w:rsid w:val="002109F9"/>
    <w:rsid w:val="00210F2E"/>
    <w:rsid w:val="002112BC"/>
    <w:rsid w:val="002137D2"/>
    <w:rsid w:val="00214440"/>
    <w:rsid w:val="00215132"/>
    <w:rsid w:val="00215327"/>
    <w:rsid w:val="002154A2"/>
    <w:rsid w:val="002156C8"/>
    <w:rsid w:val="00217AA4"/>
    <w:rsid w:val="00221A8F"/>
    <w:rsid w:val="00221D5A"/>
    <w:rsid w:val="00222BAF"/>
    <w:rsid w:val="00223C2A"/>
    <w:rsid w:val="0022431B"/>
    <w:rsid w:val="00224D73"/>
    <w:rsid w:val="002254A0"/>
    <w:rsid w:val="002256CA"/>
    <w:rsid w:val="002274F9"/>
    <w:rsid w:val="00232B56"/>
    <w:rsid w:val="002403E6"/>
    <w:rsid w:val="002418DA"/>
    <w:rsid w:val="00241BAC"/>
    <w:rsid w:val="002421F2"/>
    <w:rsid w:val="00243B7C"/>
    <w:rsid w:val="0024407F"/>
    <w:rsid w:val="00244432"/>
    <w:rsid w:val="0024609F"/>
    <w:rsid w:val="0024666C"/>
    <w:rsid w:val="002512A9"/>
    <w:rsid w:val="00251361"/>
    <w:rsid w:val="0025177C"/>
    <w:rsid w:val="00251DDE"/>
    <w:rsid w:val="00252CBB"/>
    <w:rsid w:val="00253567"/>
    <w:rsid w:val="00253C14"/>
    <w:rsid w:val="00254271"/>
    <w:rsid w:val="002579B2"/>
    <w:rsid w:val="00257BDB"/>
    <w:rsid w:val="0026055A"/>
    <w:rsid w:val="00260A61"/>
    <w:rsid w:val="00260CC9"/>
    <w:rsid w:val="00263A58"/>
    <w:rsid w:val="00264141"/>
    <w:rsid w:val="00266D81"/>
    <w:rsid w:val="0026722E"/>
    <w:rsid w:val="00267364"/>
    <w:rsid w:val="0026739B"/>
    <w:rsid w:val="002704F9"/>
    <w:rsid w:val="002709FC"/>
    <w:rsid w:val="002714DA"/>
    <w:rsid w:val="00273A31"/>
    <w:rsid w:val="00274483"/>
    <w:rsid w:val="00274B6F"/>
    <w:rsid w:val="00274DF1"/>
    <w:rsid w:val="00274FEA"/>
    <w:rsid w:val="00275000"/>
    <w:rsid w:val="00276E3E"/>
    <w:rsid w:val="00277240"/>
    <w:rsid w:val="00277610"/>
    <w:rsid w:val="00277A23"/>
    <w:rsid w:val="00277EE0"/>
    <w:rsid w:val="00280E4B"/>
    <w:rsid w:val="00281D21"/>
    <w:rsid w:val="0028514F"/>
    <w:rsid w:val="002852DB"/>
    <w:rsid w:val="00285E70"/>
    <w:rsid w:val="00285F27"/>
    <w:rsid w:val="00287FBB"/>
    <w:rsid w:val="0029026E"/>
    <w:rsid w:val="002903CD"/>
    <w:rsid w:val="0029371B"/>
    <w:rsid w:val="00293EB0"/>
    <w:rsid w:val="00294554"/>
    <w:rsid w:val="002955AC"/>
    <w:rsid w:val="00295D01"/>
    <w:rsid w:val="0029766E"/>
    <w:rsid w:val="002A299E"/>
    <w:rsid w:val="002A3380"/>
    <w:rsid w:val="002A47DB"/>
    <w:rsid w:val="002A4820"/>
    <w:rsid w:val="002A5A18"/>
    <w:rsid w:val="002A5D8F"/>
    <w:rsid w:val="002A6273"/>
    <w:rsid w:val="002A6579"/>
    <w:rsid w:val="002A658F"/>
    <w:rsid w:val="002A6A2E"/>
    <w:rsid w:val="002A78AA"/>
    <w:rsid w:val="002B0DA7"/>
    <w:rsid w:val="002B10B9"/>
    <w:rsid w:val="002B1266"/>
    <w:rsid w:val="002B1457"/>
    <w:rsid w:val="002B3998"/>
    <w:rsid w:val="002B3E6E"/>
    <w:rsid w:val="002B433A"/>
    <w:rsid w:val="002B4524"/>
    <w:rsid w:val="002B4956"/>
    <w:rsid w:val="002B5DC9"/>
    <w:rsid w:val="002B5FD2"/>
    <w:rsid w:val="002C1121"/>
    <w:rsid w:val="002C1F1E"/>
    <w:rsid w:val="002C4EF4"/>
    <w:rsid w:val="002C54A6"/>
    <w:rsid w:val="002C5961"/>
    <w:rsid w:val="002C681E"/>
    <w:rsid w:val="002C7881"/>
    <w:rsid w:val="002C7AE1"/>
    <w:rsid w:val="002C7BE9"/>
    <w:rsid w:val="002D0068"/>
    <w:rsid w:val="002D12B0"/>
    <w:rsid w:val="002D1925"/>
    <w:rsid w:val="002D19CD"/>
    <w:rsid w:val="002D2DA3"/>
    <w:rsid w:val="002D2F7F"/>
    <w:rsid w:val="002D4203"/>
    <w:rsid w:val="002D639C"/>
    <w:rsid w:val="002D688F"/>
    <w:rsid w:val="002D7184"/>
    <w:rsid w:val="002E00BA"/>
    <w:rsid w:val="002E0C1E"/>
    <w:rsid w:val="002E0FFA"/>
    <w:rsid w:val="002E11E5"/>
    <w:rsid w:val="002E1975"/>
    <w:rsid w:val="002E31AA"/>
    <w:rsid w:val="002E3B33"/>
    <w:rsid w:val="002E3BB0"/>
    <w:rsid w:val="002E55F8"/>
    <w:rsid w:val="002E6619"/>
    <w:rsid w:val="002E7AB1"/>
    <w:rsid w:val="002E7DC9"/>
    <w:rsid w:val="002F0071"/>
    <w:rsid w:val="002F06CC"/>
    <w:rsid w:val="002F2BD8"/>
    <w:rsid w:val="002F4125"/>
    <w:rsid w:val="002F5550"/>
    <w:rsid w:val="002F6563"/>
    <w:rsid w:val="002F6753"/>
    <w:rsid w:val="002F6946"/>
    <w:rsid w:val="002F6F12"/>
    <w:rsid w:val="002F785B"/>
    <w:rsid w:val="002F7A19"/>
    <w:rsid w:val="002F7A2B"/>
    <w:rsid w:val="00301652"/>
    <w:rsid w:val="00301C5C"/>
    <w:rsid w:val="00301D7B"/>
    <w:rsid w:val="00302C30"/>
    <w:rsid w:val="003032E2"/>
    <w:rsid w:val="003036A2"/>
    <w:rsid w:val="003047D1"/>
    <w:rsid w:val="003053C7"/>
    <w:rsid w:val="0030563D"/>
    <w:rsid w:val="003059EB"/>
    <w:rsid w:val="003062F7"/>
    <w:rsid w:val="00306A4B"/>
    <w:rsid w:val="00306DB5"/>
    <w:rsid w:val="003073C0"/>
    <w:rsid w:val="0030782B"/>
    <w:rsid w:val="00307B3C"/>
    <w:rsid w:val="00310421"/>
    <w:rsid w:val="00311AFA"/>
    <w:rsid w:val="003123B6"/>
    <w:rsid w:val="003139EB"/>
    <w:rsid w:val="00313CAE"/>
    <w:rsid w:val="0031605A"/>
    <w:rsid w:val="003167AB"/>
    <w:rsid w:val="00316DED"/>
    <w:rsid w:val="003170CD"/>
    <w:rsid w:val="00320351"/>
    <w:rsid w:val="00320A5B"/>
    <w:rsid w:val="00320C2A"/>
    <w:rsid w:val="003217B8"/>
    <w:rsid w:val="00322A1D"/>
    <w:rsid w:val="00322BA1"/>
    <w:rsid w:val="00326498"/>
    <w:rsid w:val="0032796C"/>
    <w:rsid w:val="0033095F"/>
    <w:rsid w:val="00331731"/>
    <w:rsid w:val="00333EED"/>
    <w:rsid w:val="0033405C"/>
    <w:rsid w:val="00334AEF"/>
    <w:rsid w:val="00334CDF"/>
    <w:rsid w:val="0033516B"/>
    <w:rsid w:val="0033551F"/>
    <w:rsid w:val="0033682C"/>
    <w:rsid w:val="00340806"/>
    <w:rsid w:val="00340DDE"/>
    <w:rsid w:val="00341FFE"/>
    <w:rsid w:val="003425BE"/>
    <w:rsid w:val="003450A8"/>
    <w:rsid w:val="003461B2"/>
    <w:rsid w:val="00346D14"/>
    <w:rsid w:val="00351AA3"/>
    <w:rsid w:val="00351E1C"/>
    <w:rsid w:val="00355B43"/>
    <w:rsid w:val="00356206"/>
    <w:rsid w:val="00357251"/>
    <w:rsid w:val="0035755B"/>
    <w:rsid w:val="003579A8"/>
    <w:rsid w:val="00357F24"/>
    <w:rsid w:val="0036137D"/>
    <w:rsid w:val="00361EE2"/>
    <w:rsid w:val="0036319D"/>
    <w:rsid w:val="00365D28"/>
    <w:rsid w:val="0036635F"/>
    <w:rsid w:val="00366527"/>
    <w:rsid w:val="00367448"/>
    <w:rsid w:val="00370291"/>
    <w:rsid w:val="00370ED1"/>
    <w:rsid w:val="003723F6"/>
    <w:rsid w:val="003744EF"/>
    <w:rsid w:val="0037638B"/>
    <w:rsid w:val="00381249"/>
    <w:rsid w:val="00382310"/>
    <w:rsid w:val="00382853"/>
    <w:rsid w:val="00383ADF"/>
    <w:rsid w:val="0038407D"/>
    <w:rsid w:val="003858B4"/>
    <w:rsid w:val="00385D30"/>
    <w:rsid w:val="0038611C"/>
    <w:rsid w:val="00387974"/>
    <w:rsid w:val="00390015"/>
    <w:rsid w:val="0039270B"/>
    <w:rsid w:val="003927CF"/>
    <w:rsid w:val="00392934"/>
    <w:rsid w:val="00392B56"/>
    <w:rsid w:val="00392DDE"/>
    <w:rsid w:val="0039386B"/>
    <w:rsid w:val="00395A60"/>
    <w:rsid w:val="00395EF5"/>
    <w:rsid w:val="0039729E"/>
    <w:rsid w:val="00397D71"/>
    <w:rsid w:val="003A2B6F"/>
    <w:rsid w:val="003A2D53"/>
    <w:rsid w:val="003A2FF2"/>
    <w:rsid w:val="003A3052"/>
    <w:rsid w:val="003A3919"/>
    <w:rsid w:val="003A476E"/>
    <w:rsid w:val="003A4AF4"/>
    <w:rsid w:val="003A5B99"/>
    <w:rsid w:val="003A647C"/>
    <w:rsid w:val="003A710E"/>
    <w:rsid w:val="003A75B8"/>
    <w:rsid w:val="003A7A7F"/>
    <w:rsid w:val="003A7E3E"/>
    <w:rsid w:val="003B1238"/>
    <w:rsid w:val="003B3605"/>
    <w:rsid w:val="003B4380"/>
    <w:rsid w:val="003B4D15"/>
    <w:rsid w:val="003B58A6"/>
    <w:rsid w:val="003B6D8F"/>
    <w:rsid w:val="003C0368"/>
    <w:rsid w:val="003C2316"/>
    <w:rsid w:val="003C40B6"/>
    <w:rsid w:val="003C4968"/>
    <w:rsid w:val="003D0696"/>
    <w:rsid w:val="003D26A3"/>
    <w:rsid w:val="003D2F87"/>
    <w:rsid w:val="003D3155"/>
    <w:rsid w:val="003D62C9"/>
    <w:rsid w:val="003D641F"/>
    <w:rsid w:val="003D6565"/>
    <w:rsid w:val="003D778D"/>
    <w:rsid w:val="003E06A8"/>
    <w:rsid w:val="003E1380"/>
    <w:rsid w:val="003E1A05"/>
    <w:rsid w:val="003E1F68"/>
    <w:rsid w:val="003E27E2"/>
    <w:rsid w:val="003E3972"/>
    <w:rsid w:val="003E4C69"/>
    <w:rsid w:val="003E539D"/>
    <w:rsid w:val="003E5BD4"/>
    <w:rsid w:val="003E6F39"/>
    <w:rsid w:val="003E7130"/>
    <w:rsid w:val="003F061A"/>
    <w:rsid w:val="003F0E91"/>
    <w:rsid w:val="003F1806"/>
    <w:rsid w:val="003F1FBD"/>
    <w:rsid w:val="003F5655"/>
    <w:rsid w:val="003F5D80"/>
    <w:rsid w:val="003F6EAD"/>
    <w:rsid w:val="003F6ECC"/>
    <w:rsid w:val="004009FC"/>
    <w:rsid w:val="0040108B"/>
    <w:rsid w:val="00401329"/>
    <w:rsid w:val="00401C9F"/>
    <w:rsid w:val="0040235C"/>
    <w:rsid w:val="00403120"/>
    <w:rsid w:val="0040354E"/>
    <w:rsid w:val="004047FF"/>
    <w:rsid w:val="00404DBF"/>
    <w:rsid w:val="00405825"/>
    <w:rsid w:val="004066E4"/>
    <w:rsid w:val="004070AA"/>
    <w:rsid w:val="00410CB7"/>
    <w:rsid w:val="00411649"/>
    <w:rsid w:val="00411FA7"/>
    <w:rsid w:val="00412553"/>
    <w:rsid w:val="00412EE1"/>
    <w:rsid w:val="004134DD"/>
    <w:rsid w:val="00413520"/>
    <w:rsid w:val="0041517D"/>
    <w:rsid w:val="004153F6"/>
    <w:rsid w:val="00415C1C"/>
    <w:rsid w:val="00416DF7"/>
    <w:rsid w:val="00420CC0"/>
    <w:rsid w:val="00420F2A"/>
    <w:rsid w:val="00421463"/>
    <w:rsid w:val="0042326D"/>
    <w:rsid w:val="00423323"/>
    <w:rsid w:val="004234C6"/>
    <w:rsid w:val="00424719"/>
    <w:rsid w:val="00425245"/>
    <w:rsid w:val="00425B20"/>
    <w:rsid w:val="00425BDF"/>
    <w:rsid w:val="00426785"/>
    <w:rsid w:val="00426E97"/>
    <w:rsid w:val="00430A0B"/>
    <w:rsid w:val="00430CA7"/>
    <w:rsid w:val="0043194C"/>
    <w:rsid w:val="004354B5"/>
    <w:rsid w:val="0043616A"/>
    <w:rsid w:val="004362E3"/>
    <w:rsid w:val="00437168"/>
    <w:rsid w:val="00440CFE"/>
    <w:rsid w:val="00441D99"/>
    <w:rsid w:val="00441DC8"/>
    <w:rsid w:val="00444967"/>
    <w:rsid w:val="00444D4A"/>
    <w:rsid w:val="004459B1"/>
    <w:rsid w:val="0044662B"/>
    <w:rsid w:val="0044741D"/>
    <w:rsid w:val="00450B7D"/>
    <w:rsid w:val="00450C41"/>
    <w:rsid w:val="0045304C"/>
    <w:rsid w:val="004534D4"/>
    <w:rsid w:val="00453C0B"/>
    <w:rsid w:val="00455807"/>
    <w:rsid w:val="004573DE"/>
    <w:rsid w:val="00457440"/>
    <w:rsid w:val="004575C3"/>
    <w:rsid w:val="00457A61"/>
    <w:rsid w:val="0046108C"/>
    <w:rsid w:val="0046209B"/>
    <w:rsid w:val="00462182"/>
    <w:rsid w:val="00463ED6"/>
    <w:rsid w:val="00465DAB"/>
    <w:rsid w:val="00466556"/>
    <w:rsid w:val="004666B7"/>
    <w:rsid w:val="00467438"/>
    <w:rsid w:val="004712A8"/>
    <w:rsid w:val="00471DED"/>
    <w:rsid w:val="00471E8C"/>
    <w:rsid w:val="00475BB5"/>
    <w:rsid w:val="00475EB7"/>
    <w:rsid w:val="004766E5"/>
    <w:rsid w:val="00476C34"/>
    <w:rsid w:val="00480463"/>
    <w:rsid w:val="00481D1D"/>
    <w:rsid w:val="00482486"/>
    <w:rsid w:val="004826CF"/>
    <w:rsid w:val="004838FD"/>
    <w:rsid w:val="00483F64"/>
    <w:rsid w:val="00484067"/>
    <w:rsid w:val="004840CB"/>
    <w:rsid w:val="004849F7"/>
    <w:rsid w:val="0048768F"/>
    <w:rsid w:val="00487D3D"/>
    <w:rsid w:val="00490065"/>
    <w:rsid w:val="0049006D"/>
    <w:rsid w:val="00490A72"/>
    <w:rsid w:val="004917B2"/>
    <w:rsid w:val="00491B05"/>
    <w:rsid w:val="00492547"/>
    <w:rsid w:val="0049263E"/>
    <w:rsid w:val="00493C69"/>
    <w:rsid w:val="00494587"/>
    <w:rsid w:val="00494627"/>
    <w:rsid w:val="00494743"/>
    <w:rsid w:val="0049514A"/>
    <w:rsid w:val="00495A4C"/>
    <w:rsid w:val="004A067D"/>
    <w:rsid w:val="004A0AB4"/>
    <w:rsid w:val="004A2E1B"/>
    <w:rsid w:val="004A4028"/>
    <w:rsid w:val="004A4870"/>
    <w:rsid w:val="004A575F"/>
    <w:rsid w:val="004A5B33"/>
    <w:rsid w:val="004A7E7F"/>
    <w:rsid w:val="004A7FA7"/>
    <w:rsid w:val="004B023E"/>
    <w:rsid w:val="004B051D"/>
    <w:rsid w:val="004B1330"/>
    <w:rsid w:val="004B1450"/>
    <w:rsid w:val="004B18B4"/>
    <w:rsid w:val="004B2DAA"/>
    <w:rsid w:val="004B5AC9"/>
    <w:rsid w:val="004B7CBD"/>
    <w:rsid w:val="004C08B6"/>
    <w:rsid w:val="004C0D00"/>
    <w:rsid w:val="004C11CE"/>
    <w:rsid w:val="004C14AB"/>
    <w:rsid w:val="004C274E"/>
    <w:rsid w:val="004C3462"/>
    <w:rsid w:val="004C356C"/>
    <w:rsid w:val="004C4282"/>
    <w:rsid w:val="004C51C7"/>
    <w:rsid w:val="004C5379"/>
    <w:rsid w:val="004C54CC"/>
    <w:rsid w:val="004C5772"/>
    <w:rsid w:val="004C655E"/>
    <w:rsid w:val="004C664F"/>
    <w:rsid w:val="004D0A90"/>
    <w:rsid w:val="004D139E"/>
    <w:rsid w:val="004D1CE2"/>
    <w:rsid w:val="004D24EF"/>
    <w:rsid w:val="004D3DB4"/>
    <w:rsid w:val="004D44AC"/>
    <w:rsid w:val="004D478D"/>
    <w:rsid w:val="004D5ED7"/>
    <w:rsid w:val="004D7860"/>
    <w:rsid w:val="004E0933"/>
    <w:rsid w:val="004E0FCF"/>
    <w:rsid w:val="004E1262"/>
    <w:rsid w:val="004E146C"/>
    <w:rsid w:val="004E3049"/>
    <w:rsid w:val="004E411B"/>
    <w:rsid w:val="004E449B"/>
    <w:rsid w:val="004E5109"/>
    <w:rsid w:val="004E5535"/>
    <w:rsid w:val="004E5C69"/>
    <w:rsid w:val="004E60D0"/>
    <w:rsid w:val="004E692F"/>
    <w:rsid w:val="004F12A6"/>
    <w:rsid w:val="004F1565"/>
    <w:rsid w:val="004F1878"/>
    <w:rsid w:val="004F1D33"/>
    <w:rsid w:val="004F219A"/>
    <w:rsid w:val="004F2301"/>
    <w:rsid w:val="004F2304"/>
    <w:rsid w:val="004F26F8"/>
    <w:rsid w:val="004F287F"/>
    <w:rsid w:val="004F4C5D"/>
    <w:rsid w:val="004F4CC9"/>
    <w:rsid w:val="004F4EAD"/>
    <w:rsid w:val="004F5750"/>
    <w:rsid w:val="004F60BB"/>
    <w:rsid w:val="004F75D8"/>
    <w:rsid w:val="00500ECC"/>
    <w:rsid w:val="005018CE"/>
    <w:rsid w:val="005025FE"/>
    <w:rsid w:val="00504585"/>
    <w:rsid w:val="005048D2"/>
    <w:rsid w:val="00505373"/>
    <w:rsid w:val="00506DDE"/>
    <w:rsid w:val="00507697"/>
    <w:rsid w:val="00510A65"/>
    <w:rsid w:val="005136AD"/>
    <w:rsid w:val="005138BA"/>
    <w:rsid w:val="00513923"/>
    <w:rsid w:val="005140FA"/>
    <w:rsid w:val="0051541F"/>
    <w:rsid w:val="0051628A"/>
    <w:rsid w:val="00516657"/>
    <w:rsid w:val="00516904"/>
    <w:rsid w:val="00516DAA"/>
    <w:rsid w:val="0052047F"/>
    <w:rsid w:val="00520AC3"/>
    <w:rsid w:val="00520C5E"/>
    <w:rsid w:val="00520CB5"/>
    <w:rsid w:val="00520E1E"/>
    <w:rsid w:val="005210CC"/>
    <w:rsid w:val="005211AF"/>
    <w:rsid w:val="005213E2"/>
    <w:rsid w:val="00521450"/>
    <w:rsid w:val="0052161A"/>
    <w:rsid w:val="00522EDD"/>
    <w:rsid w:val="00523072"/>
    <w:rsid w:val="005247DC"/>
    <w:rsid w:val="00524CB8"/>
    <w:rsid w:val="00525337"/>
    <w:rsid w:val="005262B3"/>
    <w:rsid w:val="00526CA7"/>
    <w:rsid w:val="005276C2"/>
    <w:rsid w:val="00527AEE"/>
    <w:rsid w:val="00531188"/>
    <w:rsid w:val="0053475E"/>
    <w:rsid w:val="005371C0"/>
    <w:rsid w:val="00537747"/>
    <w:rsid w:val="005406F8"/>
    <w:rsid w:val="0054169B"/>
    <w:rsid w:val="005417D2"/>
    <w:rsid w:val="005422E4"/>
    <w:rsid w:val="005426BA"/>
    <w:rsid w:val="00542BD3"/>
    <w:rsid w:val="00543721"/>
    <w:rsid w:val="00543A2D"/>
    <w:rsid w:val="00543D9C"/>
    <w:rsid w:val="00544161"/>
    <w:rsid w:val="0054436C"/>
    <w:rsid w:val="00544659"/>
    <w:rsid w:val="00544C45"/>
    <w:rsid w:val="00545CF8"/>
    <w:rsid w:val="005502DF"/>
    <w:rsid w:val="00550754"/>
    <w:rsid w:val="00550E4D"/>
    <w:rsid w:val="00550F69"/>
    <w:rsid w:val="005523C6"/>
    <w:rsid w:val="005535C1"/>
    <w:rsid w:val="0055414D"/>
    <w:rsid w:val="0055685F"/>
    <w:rsid w:val="00560884"/>
    <w:rsid w:val="005616AE"/>
    <w:rsid w:val="00565151"/>
    <w:rsid w:val="005661FD"/>
    <w:rsid w:val="005662AE"/>
    <w:rsid w:val="005668CB"/>
    <w:rsid w:val="00570715"/>
    <w:rsid w:val="00571AAC"/>
    <w:rsid w:val="00571ADF"/>
    <w:rsid w:val="00571CEA"/>
    <w:rsid w:val="00571F91"/>
    <w:rsid w:val="00572AD3"/>
    <w:rsid w:val="00572FFD"/>
    <w:rsid w:val="00574DB7"/>
    <w:rsid w:val="0057516A"/>
    <w:rsid w:val="00575452"/>
    <w:rsid w:val="00575E75"/>
    <w:rsid w:val="005771DD"/>
    <w:rsid w:val="0058090D"/>
    <w:rsid w:val="0058106F"/>
    <w:rsid w:val="00581C8A"/>
    <w:rsid w:val="00585C0D"/>
    <w:rsid w:val="005871BD"/>
    <w:rsid w:val="005871EE"/>
    <w:rsid w:val="005900A1"/>
    <w:rsid w:val="00590B01"/>
    <w:rsid w:val="00591445"/>
    <w:rsid w:val="005925C3"/>
    <w:rsid w:val="005943E0"/>
    <w:rsid w:val="00595936"/>
    <w:rsid w:val="00595E34"/>
    <w:rsid w:val="00597496"/>
    <w:rsid w:val="005A0224"/>
    <w:rsid w:val="005A0922"/>
    <w:rsid w:val="005A0BA6"/>
    <w:rsid w:val="005A1201"/>
    <w:rsid w:val="005A15E8"/>
    <w:rsid w:val="005A2255"/>
    <w:rsid w:val="005A2EAD"/>
    <w:rsid w:val="005A3392"/>
    <w:rsid w:val="005A35B2"/>
    <w:rsid w:val="005A3671"/>
    <w:rsid w:val="005A3F38"/>
    <w:rsid w:val="005A4714"/>
    <w:rsid w:val="005A68C6"/>
    <w:rsid w:val="005A6C20"/>
    <w:rsid w:val="005A6F02"/>
    <w:rsid w:val="005B0BCB"/>
    <w:rsid w:val="005B170A"/>
    <w:rsid w:val="005B1BB5"/>
    <w:rsid w:val="005B24AA"/>
    <w:rsid w:val="005B2B2E"/>
    <w:rsid w:val="005B3B6D"/>
    <w:rsid w:val="005B3C9C"/>
    <w:rsid w:val="005B545E"/>
    <w:rsid w:val="005B63DC"/>
    <w:rsid w:val="005B753C"/>
    <w:rsid w:val="005B77B6"/>
    <w:rsid w:val="005C1644"/>
    <w:rsid w:val="005C1B4B"/>
    <w:rsid w:val="005C2481"/>
    <w:rsid w:val="005C2541"/>
    <w:rsid w:val="005C38DF"/>
    <w:rsid w:val="005C3E05"/>
    <w:rsid w:val="005C5917"/>
    <w:rsid w:val="005C5D69"/>
    <w:rsid w:val="005C698B"/>
    <w:rsid w:val="005C71E9"/>
    <w:rsid w:val="005D109D"/>
    <w:rsid w:val="005D1F26"/>
    <w:rsid w:val="005D3899"/>
    <w:rsid w:val="005D5037"/>
    <w:rsid w:val="005D5591"/>
    <w:rsid w:val="005D5D01"/>
    <w:rsid w:val="005D7700"/>
    <w:rsid w:val="005E1B49"/>
    <w:rsid w:val="005E44C9"/>
    <w:rsid w:val="005E5DEB"/>
    <w:rsid w:val="005E5EEE"/>
    <w:rsid w:val="005E7012"/>
    <w:rsid w:val="005F03FA"/>
    <w:rsid w:val="005F0861"/>
    <w:rsid w:val="005F0DA6"/>
    <w:rsid w:val="005F3154"/>
    <w:rsid w:val="005F32AD"/>
    <w:rsid w:val="005F41CD"/>
    <w:rsid w:val="005F573F"/>
    <w:rsid w:val="005F683D"/>
    <w:rsid w:val="005F7C32"/>
    <w:rsid w:val="006004A6"/>
    <w:rsid w:val="00601371"/>
    <w:rsid w:val="00601BED"/>
    <w:rsid w:val="00602B82"/>
    <w:rsid w:val="00603BB8"/>
    <w:rsid w:val="006056A5"/>
    <w:rsid w:val="006060DD"/>
    <w:rsid w:val="00606527"/>
    <w:rsid w:val="006065A9"/>
    <w:rsid w:val="00607149"/>
    <w:rsid w:val="006075B1"/>
    <w:rsid w:val="00607651"/>
    <w:rsid w:val="00607A8E"/>
    <w:rsid w:val="006101EB"/>
    <w:rsid w:val="006103AF"/>
    <w:rsid w:val="00610C1D"/>
    <w:rsid w:val="006111D1"/>
    <w:rsid w:val="006112EB"/>
    <w:rsid w:val="00611DC3"/>
    <w:rsid w:val="006120C6"/>
    <w:rsid w:val="006131D3"/>
    <w:rsid w:val="006137A9"/>
    <w:rsid w:val="00613805"/>
    <w:rsid w:val="00614F42"/>
    <w:rsid w:val="00615E8D"/>
    <w:rsid w:val="006208B6"/>
    <w:rsid w:val="00620AB1"/>
    <w:rsid w:val="00620C5C"/>
    <w:rsid w:val="006222C9"/>
    <w:rsid w:val="00622516"/>
    <w:rsid w:val="00623B5C"/>
    <w:rsid w:val="00624B8E"/>
    <w:rsid w:val="00625BAE"/>
    <w:rsid w:val="00627195"/>
    <w:rsid w:val="00630E7C"/>
    <w:rsid w:val="00630F2B"/>
    <w:rsid w:val="0063561B"/>
    <w:rsid w:val="0064042D"/>
    <w:rsid w:val="00641AEC"/>
    <w:rsid w:val="0064524B"/>
    <w:rsid w:val="0064543D"/>
    <w:rsid w:val="0064626C"/>
    <w:rsid w:val="006469A4"/>
    <w:rsid w:val="00650487"/>
    <w:rsid w:val="00650A8F"/>
    <w:rsid w:val="00650FFE"/>
    <w:rsid w:val="00651877"/>
    <w:rsid w:val="00652A0D"/>
    <w:rsid w:val="00652E25"/>
    <w:rsid w:val="00652F4E"/>
    <w:rsid w:val="006549D0"/>
    <w:rsid w:val="00655388"/>
    <w:rsid w:val="00655D42"/>
    <w:rsid w:val="00656199"/>
    <w:rsid w:val="00656E6E"/>
    <w:rsid w:val="006573A3"/>
    <w:rsid w:val="006576F3"/>
    <w:rsid w:val="006607B2"/>
    <w:rsid w:val="006628D5"/>
    <w:rsid w:val="00662B2F"/>
    <w:rsid w:val="00663B99"/>
    <w:rsid w:val="00663E98"/>
    <w:rsid w:val="00664D3A"/>
    <w:rsid w:val="00665966"/>
    <w:rsid w:val="0066610E"/>
    <w:rsid w:val="00666A16"/>
    <w:rsid w:val="00666B96"/>
    <w:rsid w:val="00667912"/>
    <w:rsid w:val="00667915"/>
    <w:rsid w:val="00667E95"/>
    <w:rsid w:val="0067173F"/>
    <w:rsid w:val="00671F37"/>
    <w:rsid w:val="00672BCE"/>
    <w:rsid w:val="00675060"/>
    <w:rsid w:val="00675789"/>
    <w:rsid w:val="006759C2"/>
    <w:rsid w:val="00675DB0"/>
    <w:rsid w:val="0067631B"/>
    <w:rsid w:val="00676831"/>
    <w:rsid w:val="00677831"/>
    <w:rsid w:val="00677974"/>
    <w:rsid w:val="00677A9F"/>
    <w:rsid w:val="00680840"/>
    <w:rsid w:val="00681CA4"/>
    <w:rsid w:val="00682027"/>
    <w:rsid w:val="00683396"/>
    <w:rsid w:val="00683885"/>
    <w:rsid w:val="006839AA"/>
    <w:rsid w:val="00685B63"/>
    <w:rsid w:val="00690252"/>
    <w:rsid w:val="0069033E"/>
    <w:rsid w:val="0069258B"/>
    <w:rsid w:val="00692C7D"/>
    <w:rsid w:val="0069319A"/>
    <w:rsid w:val="00694CA7"/>
    <w:rsid w:val="00694E1A"/>
    <w:rsid w:val="00695927"/>
    <w:rsid w:val="00695A1E"/>
    <w:rsid w:val="00695D3C"/>
    <w:rsid w:val="006976BB"/>
    <w:rsid w:val="006A1489"/>
    <w:rsid w:val="006A1C5E"/>
    <w:rsid w:val="006A1C7B"/>
    <w:rsid w:val="006A219B"/>
    <w:rsid w:val="006A2589"/>
    <w:rsid w:val="006A25BB"/>
    <w:rsid w:val="006A37BC"/>
    <w:rsid w:val="006A4710"/>
    <w:rsid w:val="006A4E81"/>
    <w:rsid w:val="006A5D0B"/>
    <w:rsid w:val="006A5DC9"/>
    <w:rsid w:val="006A7D59"/>
    <w:rsid w:val="006B0FD4"/>
    <w:rsid w:val="006B10B6"/>
    <w:rsid w:val="006B1377"/>
    <w:rsid w:val="006B2726"/>
    <w:rsid w:val="006B2A1D"/>
    <w:rsid w:val="006B3F1E"/>
    <w:rsid w:val="006B57B2"/>
    <w:rsid w:val="006B5901"/>
    <w:rsid w:val="006B6D33"/>
    <w:rsid w:val="006C0EDC"/>
    <w:rsid w:val="006C109B"/>
    <w:rsid w:val="006C15D6"/>
    <w:rsid w:val="006C180F"/>
    <w:rsid w:val="006C18F0"/>
    <w:rsid w:val="006C2F7A"/>
    <w:rsid w:val="006C3DCD"/>
    <w:rsid w:val="006C4214"/>
    <w:rsid w:val="006C5048"/>
    <w:rsid w:val="006C63D3"/>
    <w:rsid w:val="006C7AB2"/>
    <w:rsid w:val="006C7D1D"/>
    <w:rsid w:val="006D1B2D"/>
    <w:rsid w:val="006D1D1E"/>
    <w:rsid w:val="006D1E80"/>
    <w:rsid w:val="006D2823"/>
    <w:rsid w:val="006D35CE"/>
    <w:rsid w:val="006D37CE"/>
    <w:rsid w:val="006D49BF"/>
    <w:rsid w:val="006D4FBC"/>
    <w:rsid w:val="006D555F"/>
    <w:rsid w:val="006D6E53"/>
    <w:rsid w:val="006D7B7F"/>
    <w:rsid w:val="006D7E28"/>
    <w:rsid w:val="006E03CB"/>
    <w:rsid w:val="006E17CD"/>
    <w:rsid w:val="006E23B6"/>
    <w:rsid w:val="006E25AB"/>
    <w:rsid w:val="006E25F9"/>
    <w:rsid w:val="006E3262"/>
    <w:rsid w:val="006E3A6D"/>
    <w:rsid w:val="006E4748"/>
    <w:rsid w:val="006E4EB0"/>
    <w:rsid w:val="006E7746"/>
    <w:rsid w:val="006E7F70"/>
    <w:rsid w:val="006F07AF"/>
    <w:rsid w:val="006F16A7"/>
    <w:rsid w:val="006F2860"/>
    <w:rsid w:val="006F4826"/>
    <w:rsid w:val="006F4D0E"/>
    <w:rsid w:val="006F55AC"/>
    <w:rsid w:val="006F738D"/>
    <w:rsid w:val="00700738"/>
    <w:rsid w:val="00703578"/>
    <w:rsid w:val="00703E92"/>
    <w:rsid w:val="00705472"/>
    <w:rsid w:val="007067A9"/>
    <w:rsid w:val="007069B1"/>
    <w:rsid w:val="00707997"/>
    <w:rsid w:val="0071029B"/>
    <w:rsid w:val="0071052E"/>
    <w:rsid w:val="007115E1"/>
    <w:rsid w:val="00711762"/>
    <w:rsid w:val="00711F63"/>
    <w:rsid w:val="007128D8"/>
    <w:rsid w:val="007149A9"/>
    <w:rsid w:val="007152BC"/>
    <w:rsid w:val="007153C2"/>
    <w:rsid w:val="00716559"/>
    <w:rsid w:val="00716588"/>
    <w:rsid w:val="00716A63"/>
    <w:rsid w:val="00716BCA"/>
    <w:rsid w:val="00716C28"/>
    <w:rsid w:val="00717253"/>
    <w:rsid w:val="007201BD"/>
    <w:rsid w:val="00721552"/>
    <w:rsid w:val="00725C8B"/>
    <w:rsid w:val="00726A1C"/>
    <w:rsid w:val="00726E5E"/>
    <w:rsid w:val="00731ED4"/>
    <w:rsid w:val="007327F4"/>
    <w:rsid w:val="00734053"/>
    <w:rsid w:val="00734636"/>
    <w:rsid w:val="00735C5B"/>
    <w:rsid w:val="007367A7"/>
    <w:rsid w:val="00736C13"/>
    <w:rsid w:val="00736E16"/>
    <w:rsid w:val="00736E1E"/>
    <w:rsid w:val="00736F0E"/>
    <w:rsid w:val="00737F92"/>
    <w:rsid w:val="007405B9"/>
    <w:rsid w:val="007445DB"/>
    <w:rsid w:val="00745262"/>
    <w:rsid w:val="0074569B"/>
    <w:rsid w:val="00746FE8"/>
    <w:rsid w:val="00750FFB"/>
    <w:rsid w:val="007510E2"/>
    <w:rsid w:val="007513AA"/>
    <w:rsid w:val="00752314"/>
    <w:rsid w:val="00752473"/>
    <w:rsid w:val="00752903"/>
    <w:rsid w:val="00754103"/>
    <w:rsid w:val="00754BE8"/>
    <w:rsid w:val="00754DDF"/>
    <w:rsid w:val="00757D44"/>
    <w:rsid w:val="007601FF"/>
    <w:rsid w:val="00761269"/>
    <w:rsid w:val="00762887"/>
    <w:rsid w:val="00762BF9"/>
    <w:rsid w:val="00766A1F"/>
    <w:rsid w:val="00766BBE"/>
    <w:rsid w:val="007674DC"/>
    <w:rsid w:val="00767521"/>
    <w:rsid w:val="00770755"/>
    <w:rsid w:val="007732C9"/>
    <w:rsid w:val="007738F3"/>
    <w:rsid w:val="0077405B"/>
    <w:rsid w:val="00774793"/>
    <w:rsid w:val="00774CB6"/>
    <w:rsid w:val="007768E8"/>
    <w:rsid w:val="00776A3D"/>
    <w:rsid w:val="00776A8D"/>
    <w:rsid w:val="00777CA2"/>
    <w:rsid w:val="00780ED9"/>
    <w:rsid w:val="00781C4F"/>
    <w:rsid w:val="00782488"/>
    <w:rsid w:val="007835C5"/>
    <w:rsid w:val="00784770"/>
    <w:rsid w:val="007854A0"/>
    <w:rsid w:val="00785DC1"/>
    <w:rsid w:val="00785E49"/>
    <w:rsid w:val="007868C5"/>
    <w:rsid w:val="00786A8D"/>
    <w:rsid w:val="00786B17"/>
    <w:rsid w:val="00786D6F"/>
    <w:rsid w:val="00787338"/>
    <w:rsid w:val="007876C8"/>
    <w:rsid w:val="00787C90"/>
    <w:rsid w:val="00790A1F"/>
    <w:rsid w:val="0079145D"/>
    <w:rsid w:val="00793B7A"/>
    <w:rsid w:val="00793C15"/>
    <w:rsid w:val="00793DA2"/>
    <w:rsid w:val="00794E56"/>
    <w:rsid w:val="00795A5A"/>
    <w:rsid w:val="00796F58"/>
    <w:rsid w:val="00797194"/>
    <w:rsid w:val="00797ED1"/>
    <w:rsid w:val="007A01EB"/>
    <w:rsid w:val="007A54E1"/>
    <w:rsid w:val="007A727E"/>
    <w:rsid w:val="007A7330"/>
    <w:rsid w:val="007A7715"/>
    <w:rsid w:val="007B0DF1"/>
    <w:rsid w:val="007B13AE"/>
    <w:rsid w:val="007B2475"/>
    <w:rsid w:val="007B249F"/>
    <w:rsid w:val="007B2C57"/>
    <w:rsid w:val="007B2ECC"/>
    <w:rsid w:val="007B3286"/>
    <w:rsid w:val="007B37F1"/>
    <w:rsid w:val="007B7500"/>
    <w:rsid w:val="007C0090"/>
    <w:rsid w:val="007C1DF4"/>
    <w:rsid w:val="007C23C2"/>
    <w:rsid w:val="007C5394"/>
    <w:rsid w:val="007C5826"/>
    <w:rsid w:val="007C6A17"/>
    <w:rsid w:val="007C6BB9"/>
    <w:rsid w:val="007D1633"/>
    <w:rsid w:val="007D1B60"/>
    <w:rsid w:val="007D1BD5"/>
    <w:rsid w:val="007D2E6D"/>
    <w:rsid w:val="007D3AC2"/>
    <w:rsid w:val="007D4603"/>
    <w:rsid w:val="007D4766"/>
    <w:rsid w:val="007D5501"/>
    <w:rsid w:val="007D63EC"/>
    <w:rsid w:val="007D76BC"/>
    <w:rsid w:val="007D7F23"/>
    <w:rsid w:val="007E073D"/>
    <w:rsid w:val="007E0B52"/>
    <w:rsid w:val="007E260F"/>
    <w:rsid w:val="007E35CB"/>
    <w:rsid w:val="007E4B05"/>
    <w:rsid w:val="007E5F46"/>
    <w:rsid w:val="007E7737"/>
    <w:rsid w:val="007F011D"/>
    <w:rsid w:val="007F10FA"/>
    <w:rsid w:val="007F16A8"/>
    <w:rsid w:val="007F17EB"/>
    <w:rsid w:val="007F41BF"/>
    <w:rsid w:val="007F508D"/>
    <w:rsid w:val="007F5A71"/>
    <w:rsid w:val="007F6149"/>
    <w:rsid w:val="007F618C"/>
    <w:rsid w:val="007F688D"/>
    <w:rsid w:val="007F6890"/>
    <w:rsid w:val="007F78CC"/>
    <w:rsid w:val="00801E52"/>
    <w:rsid w:val="00802325"/>
    <w:rsid w:val="0080555F"/>
    <w:rsid w:val="0080600C"/>
    <w:rsid w:val="00806C17"/>
    <w:rsid w:val="00806CE0"/>
    <w:rsid w:val="00806EF3"/>
    <w:rsid w:val="00806F44"/>
    <w:rsid w:val="00807954"/>
    <w:rsid w:val="00812E7D"/>
    <w:rsid w:val="00814423"/>
    <w:rsid w:val="00814ED8"/>
    <w:rsid w:val="00815DBC"/>
    <w:rsid w:val="00816F1C"/>
    <w:rsid w:val="008175AA"/>
    <w:rsid w:val="00817FB2"/>
    <w:rsid w:val="00817FC3"/>
    <w:rsid w:val="00820B6A"/>
    <w:rsid w:val="00821D0A"/>
    <w:rsid w:val="008223E7"/>
    <w:rsid w:val="00824758"/>
    <w:rsid w:val="00826D20"/>
    <w:rsid w:val="00826EB9"/>
    <w:rsid w:val="008301D4"/>
    <w:rsid w:val="00830E3E"/>
    <w:rsid w:val="00831F31"/>
    <w:rsid w:val="0083210A"/>
    <w:rsid w:val="00833678"/>
    <w:rsid w:val="00833CE4"/>
    <w:rsid w:val="00834B45"/>
    <w:rsid w:val="00834D4F"/>
    <w:rsid w:val="0083670A"/>
    <w:rsid w:val="00840460"/>
    <w:rsid w:val="008408C1"/>
    <w:rsid w:val="00840B15"/>
    <w:rsid w:val="00840F42"/>
    <w:rsid w:val="008413D6"/>
    <w:rsid w:val="00841579"/>
    <w:rsid w:val="00841807"/>
    <w:rsid w:val="008437C9"/>
    <w:rsid w:val="00843A62"/>
    <w:rsid w:val="00844B0F"/>
    <w:rsid w:val="00844BEB"/>
    <w:rsid w:val="008451D3"/>
    <w:rsid w:val="00846190"/>
    <w:rsid w:val="008463FF"/>
    <w:rsid w:val="00846712"/>
    <w:rsid w:val="00846B2B"/>
    <w:rsid w:val="008473B0"/>
    <w:rsid w:val="0084763A"/>
    <w:rsid w:val="008503AA"/>
    <w:rsid w:val="00850A76"/>
    <w:rsid w:val="0085210D"/>
    <w:rsid w:val="0085234E"/>
    <w:rsid w:val="00852871"/>
    <w:rsid w:val="00854E3D"/>
    <w:rsid w:val="008551F5"/>
    <w:rsid w:val="0085632B"/>
    <w:rsid w:val="008563FC"/>
    <w:rsid w:val="00856547"/>
    <w:rsid w:val="00856E94"/>
    <w:rsid w:val="008575D8"/>
    <w:rsid w:val="00857C64"/>
    <w:rsid w:val="00857E65"/>
    <w:rsid w:val="00857EF4"/>
    <w:rsid w:val="008601C5"/>
    <w:rsid w:val="00862713"/>
    <w:rsid w:val="008627C6"/>
    <w:rsid w:val="00862B41"/>
    <w:rsid w:val="008631BE"/>
    <w:rsid w:val="00863F9A"/>
    <w:rsid w:val="00864126"/>
    <w:rsid w:val="0086478D"/>
    <w:rsid w:val="00864B47"/>
    <w:rsid w:val="008655D1"/>
    <w:rsid w:val="00865F66"/>
    <w:rsid w:val="008670CB"/>
    <w:rsid w:val="00867518"/>
    <w:rsid w:val="008704E4"/>
    <w:rsid w:val="00870CF6"/>
    <w:rsid w:val="00873B6C"/>
    <w:rsid w:val="00873B87"/>
    <w:rsid w:val="00876062"/>
    <w:rsid w:val="00876890"/>
    <w:rsid w:val="00880650"/>
    <w:rsid w:val="00880B45"/>
    <w:rsid w:val="00880DE8"/>
    <w:rsid w:val="00881029"/>
    <w:rsid w:val="00881B6C"/>
    <w:rsid w:val="00886DA8"/>
    <w:rsid w:val="00886E43"/>
    <w:rsid w:val="00887995"/>
    <w:rsid w:val="00887AD9"/>
    <w:rsid w:val="00890BD7"/>
    <w:rsid w:val="00891A6E"/>
    <w:rsid w:val="008921C4"/>
    <w:rsid w:val="008937AA"/>
    <w:rsid w:val="008941B7"/>
    <w:rsid w:val="008951FB"/>
    <w:rsid w:val="00896164"/>
    <w:rsid w:val="008968EB"/>
    <w:rsid w:val="00896D51"/>
    <w:rsid w:val="00897689"/>
    <w:rsid w:val="00897C4D"/>
    <w:rsid w:val="00897FEE"/>
    <w:rsid w:val="008A11B6"/>
    <w:rsid w:val="008A1A87"/>
    <w:rsid w:val="008A2AF3"/>
    <w:rsid w:val="008A3A56"/>
    <w:rsid w:val="008A405E"/>
    <w:rsid w:val="008A4218"/>
    <w:rsid w:val="008A444C"/>
    <w:rsid w:val="008A4B08"/>
    <w:rsid w:val="008A4DD1"/>
    <w:rsid w:val="008A51A2"/>
    <w:rsid w:val="008A51C6"/>
    <w:rsid w:val="008A51D2"/>
    <w:rsid w:val="008A6102"/>
    <w:rsid w:val="008A7E6C"/>
    <w:rsid w:val="008B25B9"/>
    <w:rsid w:val="008B2EB2"/>
    <w:rsid w:val="008B391D"/>
    <w:rsid w:val="008B7AF1"/>
    <w:rsid w:val="008C2D4B"/>
    <w:rsid w:val="008C2E16"/>
    <w:rsid w:val="008C338D"/>
    <w:rsid w:val="008C3EB9"/>
    <w:rsid w:val="008C5E45"/>
    <w:rsid w:val="008C5F19"/>
    <w:rsid w:val="008C7171"/>
    <w:rsid w:val="008C7F81"/>
    <w:rsid w:val="008D0035"/>
    <w:rsid w:val="008D0832"/>
    <w:rsid w:val="008D2B69"/>
    <w:rsid w:val="008D3E64"/>
    <w:rsid w:val="008D3E6D"/>
    <w:rsid w:val="008D4523"/>
    <w:rsid w:val="008D5006"/>
    <w:rsid w:val="008D507F"/>
    <w:rsid w:val="008D5E56"/>
    <w:rsid w:val="008D5FCE"/>
    <w:rsid w:val="008D610A"/>
    <w:rsid w:val="008D75DB"/>
    <w:rsid w:val="008E0234"/>
    <w:rsid w:val="008E14DE"/>
    <w:rsid w:val="008E1522"/>
    <w:rsid w:val="008E36EC"/>
    <w:rsid w:val="008E3A6A"/>
    <w:rsid w:val="008E5CE3"/>
    <w:rsid w:val="008E6E20"/>
    <w:rsid w:val="008E6ED7"/>
    <w:rsid w:val="008F10C0"/>
    <w:rsid w:val="008F1194"/>
    <w:rsid w:val="008F199E"/>
    <w:rsid w:val="008F273A"/>
    <w:rsid w:val="008F42F6"/>
    <w:rsid w:val="008F52F8"/>
    <w:rsid w:val="008F536C"/>
    <w:rsid w:val="008F5A6B"/>
    <w:rsid w:val="008F5FA6"/>
    <w:rsid w:val="008F64BD"/>
    <w:rsid w:val="008F7A9C"/>
    <w:rsid w:val="00900503"/>
    <w:rsid w:val="009039A6"/>
    <w:rsid w:val="009055B8"/>
    <w:rsid w:val="00905C77"/>
    <w:rsid w:val="009067F4"/>
    <w:rsid w:val="00906D4F"/>
    <w:rsid w:val="00907FF6"/>
    <w:rsid w:val="00910D36"/>
    <w:rsid w:val="0091299A"/>
    <w:rsid w:val="0091302A"/>
    <w:rsid w:val="00913269"/>
    <w:rsid w:val="009133BA"/>
    <w:rsid w:val="00914764"/>
    <w:rsid w:val="00914AD1"/>
    <w:rsid w:val="0091539C"/>
    <w:rsid w:val="00915564"/>
    <w:rsid w:val="00916605"/>
    <w:rsid w:val="00916ABD"/>
    <w:rsid w:val="00917822"/>
    <w:rsid w:val="00920821"/>
    <w:rsid w:val="0092091A"/>
    <w:rsid w:val="00921389"/>
    <w:rsid w:val="00922EBB"/>
    <w:rsid w:val="009238C0"/>
    <w:rsid w:val="00924D2F"/>
    <w:rsid w:val="00924D99"/>
    <w:rsid w:val="00925BAA"/>
    <w:rsid w:val="00925EE3"/>
    <w:rsid w:val="0092796F"/>
    <w:rsid w:val="009313D2"/>
    <w:rsid w:val="00931502"/>
    <w:rsid w:val="009317F7"/>
    <w:rsid w:val="00931DD4"/>
    <w:rsid w:val="009320CA"/>
    <w:rsid w:val="009322F2"/>
    <w:rsid w:val="009328FC"/>
    <w:rsid w:val="00933927"/>
    <w:rsid w:val="00933A1F"/>
    <w:rsid w:val="00933D7D"/>
    <w:rsid w:val="00935400"/>
    <w:rsid w:val="009360C5"/>
    <w:rsid w:val="009415D6"/>
    <w:rsid w:val="00943425"/>
    <w:rsid w:val="00944443"/>
    <w:rsid w:val="00945DD9"/>
    <w:rsid w:val="00946C7B"/>
    <w:rsid w:val="0094705D"/>
    <w:rsid w:val="00947D44"/>
    <w:rsid w:val="00950842"/>
    <w:rsid w:val="00950EE3"/>
    <w:rsid w:val="009513BF"/>
    <w:rsid w:val="0095294F"/>
    <w:rsid w:val="0095672F"/>
    <w:rsid w:val="00956D0A"/>
    <w:rsid w:val="00957152"/>
    <w:rsid w:val="0096064B"/>
    <w:rsid w:val="00960D6A"/>
    <w:rsid w:val="0096229F"/>
    <w:rsid w:val="00962A12"/>
    <w:rsid w:val="00962C63"/>
    <w:rsid w:val="00963568"/>
    <w:rsid w:val="009645B4"/>
    <w:rsid w:val="00965C21"/>
    <w:rsid w:val="00965F77"/>
    <w:rsid w:val="009704B0"/>
    <w:rsid w:val="00972036"/>
    <w:rsid w:val="00972D65"/>
    <w:rsid w:val="00973B8C"/>
    <w:rsid w:val="00975E7F"/>
    <w:rsid w:val="00976ADC"/>
    <w:rsid w:val="00983F19"/>
    <w:rsid w:val="00984020"/>
    <w:rsid w:val="00984ACC"/>
    <w:rsid w:val="009856F1"/>
    <w:rsid w:val="00987853"/>
    <w:rsid w:val="00987D84"/>
    <w:rsid w:val="00990A37"/>
    <w:rsid w:val="00990C0D"/>
    <w:rsid w:val="00991F83"/>
    <w:rsid w:val="009920D4"/>
    <w:rsid w:val="0099313A"/>
    <w:rsid w:val="00993B0A"/>
    <w:rsid w:val="0099432F"/>
    <w:rsid w:val="009952EB"/>
    <w:rsid w:val="00995D43"/>
    <w:rsid w:val="00995D9F"/>
    <w:rsid w:val="009964E7"/>
    <w:rsid w:val="009A0DC5"/>
    <w:rsid w:val="009A180F"/>
    <w:rsid w:val="009A20E5"/>
    <w:rsid w:val="009A35FC"/>
    <w:rsid w:val="009A3DA9"/>
    <w:rsid w:val="009A409D"/>
    <w:rsid w:val="009A489B"/>
    <w:rsid w:val="009A54BE"/>
    <w:rsid w:val="009A576E"/>
    <w:rsid w:val="009A623A"/>
    <w:rsid w:val="009A6A47"/>
    <w:rsid w:val="009A7D5F"/>
    <w:rsid w:val="009B13C6"/>
    <w:rsid w:val="009B1B23"/>
    <w:rsid w:val="009B3319"/>
    <w:rsid w:val="009B4440"/>
    <w:rsid w:val="009B4B17"/>
    <w:rsid w:val="009B532B"/>
    <w:rsid w:val="009B5F0E"/>
    <w:rsid w:val="009B6B20"/>
    <w:rsid w:val="009B7560"/>
    <w:rsid w:val="009B77E9"/>
    <w:rsid w:val="009B7EFB"/>
    <w:rsid w:val="009C0DFE"/>
    <w:rsid w:val="009C1345"/>
    <w:rsid w:val="009C3E19"/>
    <w:rsid w:val="009C4684"/>
    <w:rsid w:val="009C4ACA"/>
    <w:rsid w:val="009C4E88"/>
    <w:rsid w:val="009C532F"/>
    <w:rsid w:val="009C5CA3"/>
    <w:rsid w:val="009C5DC9"/>
    <w:rsid w:val="009C6030"/>
    <w:rsid w:val="009D3EE1"/>
    <w:rsid w:val="009D77BD"/>
    <w:rsid w:val="009D7E49"/>
    <w:rsid w:val="009E08E0"/>
    <w:rsid w:val="009E3505"/>
    <w:rsid w:val="009E354F"/>
    <w:rsid w:val="009E3E67"/>
    <w:rsid w:val="009E51CE"/>
    <w:rsid w:val="009E5D82"/>
    <w:rsid w:val="009E5ECF"/>
    <w:rsid w:val="009E734D"/>
    <w:rsid w:val="009F0667"/>
    <w:rsid w:val="009F0EAA"/>
    <w:rsid w:val="009F2DF2"/>
    <w:rsid w:val="009F38A2"/>
    <w:rsid w:val="009F4040"/>
    <w:rsid w:val="009F42AB"/>
    <w:rsid w:val="009F4723"/>
    <w:rsid w:val="009F5A9B"/>
    <w:rsid w:val="009F61CA"/>
    <w:rsid w:val="009F667B"/>
    <w:rsid w:val="009F78CB"/>
    <w:rsid w:val="009F79DC"/>
    <w:rsid w:val="00A000F1"/>
    <w:rsid w:val="00A0027C"/>
    <w:rsid w:val="00A00A06"/>
    <w:rsid w:val="00A01559"/>
    <w:rsid w:val="00A0249E"/>
    <w:rsid w:val="00A02AB0"/>
    <w:rsid w:val="00A0309C"/>
    <w:rsid w:val="00A03B32"/>
    <w:rsid w:val="00A0599B"/>
    <w:rsid w:val="00A06BDB"/>
    <w:rsid w:val="00A10D06"/>
    <w:rsid w:val="00A114AB"/>
    <w:rsid w:val="00A11C00"/>
    <w:rsid w:val="00A14107"/>
    <w:rsid w:val="00A14F64"/>
    <w:rsid w:val="00A1504B"/>
    <w:rsid w:val="00A15FDC"/>
    <w:rsid w:val="00A16BED"/>
    <w:rsid w:val="00A16DF6"/>
    <w:rsid w:val="00A1726D"/>
    <w:rsid w:val="00A20DBC"/>
    <w:rsid w:val="00A22094"/>
    <w:rsid w:val="00A23B87"/>
    <w:rsid w:val="00A23FE4"/>
    <w:rsid w:val="00A24533"/>
    <w:rsid w:val="00A254AE"/>
    <w:rsid w:val="00A30164"/>
    <w:rsid w:val="00A302BD"/>
    <w:rsid w:val="00A30F4E"/>
    <w:rsid w:val="00A3208E"/>
    <w:rsid w:val="00A32222"/>
    <w:rsid w:val="00A32EDC"/>
    <w:rsid w:val="00A3427A"/>
    <w:rsid w:val="00A35817"/>
    <w:rsid w:val="00A36085"/>
    <w:rsid w:val="00A36540"/>
    <w:rsid w:val="00A36C54"/>
    <w:rsid w:val="00A37466"/>
    <w:rsid w:val="00A40CC4"/>
    <w:rsid w:val="00A410CD"/>
    <w:rsid w:val="00A41431"/>
    <w:rsid w:val="00A4301D"/>
    <w:rsid w:val="00A502B4"/>
    <w:rsid w:val="00A50648"/>
    <w:rsid w:val="00A51997"/>
    <w:rsid w:val="00A52C01"/>
    <w:rsid w:val="00A53581"/>
    <w:rsid w:val="00A55391"/>
    <w:rsid w:val="00A573FF"/>
    <w:rsid w:val="00A60274"/>
    <w:rsid w:val="00A603DA"/>
    <w:rsid w:val="00A63318"/>
    <w:rsid w:val="00A65678"/>
    <w:rsid w:val="00A70DD1"/>
    <w:rsid w:val="00A710B8"/>
    <w:rsid w:val="00A716CA"/>
    <w:rsid w:val="00A72B88"/>
    <w:rsid w:val="00A73557"/>
    <w:rsid w:val="00A7397B"/>
    <w:rsid w:val="00A7458E"/>
    <w:rsid w:val="00A74AA1"/>
    <w:rsid w:val="00A80845"/>
    <w:rsid w:val="00A81299"/>
    <w:rsid w:val="00A81532"/>
    <w:rsid w:val="00A82227"/>
    <w:rsid w:val="00A823FE"/>
    <w:rsid w:val="00A82B26"/>
    <w:rsid w:val="00A830D8"/>
    <w:rsid w:val="00A8352B"/>
    <w:rsid w:val="00A847E1"/>
    <w:rsid w:val="00A855C1"/>
    <w:rsid w:val="00A85C20"/>
    <w:rsid w:val="00A86058"/>
    <w:rsid w:val="00A86985"/>
    <w:rsid w:val="00A87C78"/>
    <w:rsid w:val="00A90BD5"/>
    <w:rsid w:val="00A90F41"/>
    <w:rsid w:val="00A94282"/>
    <w:rsid w:val="00A943B2"/>
    <w:rsid w:val="00A9602E"/>
    <w:rsid w:val="00A965CC"/>
    <w:rsid w:val="00AA0222"/>
    <w:rsid w:val="00AA1F55"/>
    <w:rsid w:val="00AA4BB9"/>
    <w:rsid w:val="00AA4FE2"/>
    <w:rsid w:val="00AA5241"/>
    <w:rsid w:val="00AB07A4"/>
    <w:rsid w:val="00AB181B"/>
    <w:rsid w:val="00AB2E64"/>
    <w:rsid w:val="00AB4D75"/>
    <w:rsid w:val="00AB6B3E"/>
    <w:rsid w:val="00AB75BA"/>
    <w:rsid w:val="00AC05C6"/>
    <w:rsid w:val="00AC1F4D"/>
    <w:rsid w:val="00AC23D1"/>
    <w:rsid w:val="00AC3AF9"/>
    <w:rsid w:val="00AC3B69"/>
    <w:rsid w:val="00AC3E58"/>
    <w:rsid w:val="00AC53FD"/>
    <w:rsid w:val="00AC56DF"/>
    <w:rsid w:val="00AC6720"/>
    <w:rsid w:val="00AC7E31"/>
    <w:rsid w:val="00AC7ECD"/>
    <w:rsid w:val="00AD0766"/>
    <w:rsid w:val="00AD07E0"/>
    <w:rsid w:val="00AD083F"/>
    <w:rsid w:val="00AD2170"/>
    <w:rsid w:val="00AD275A"/>
    <w:rsid w:val="00AD31D2"/>
    <w:rsid w:val="00AD3D6D"/>
    <w:rsid w:val="00AD688C"/>
    <w:rsid w:val="00AD68B9"/>
    <w:rsid w:val="00AD780B"/>
    <w:rsid w:val="00AD7B85"/>
    <w:rsid w:val="00AD7C86"/>
    <w:rsid w:val="00AD7F00"/>
    <w:rsid w:val="00AE0559"/>
    <w:rsid w:val="00AE0964"/>
    <w:rsid w:val="00AE0D97"/>
    <w:rsid w:val="00AE1357"/>
    <w:rsid w:val="00AE22BA"/>
    <w:rsid w:val="00AE25B4"/>
    <w:rsid w:val="00AE2DE8"/>
    <w:rsid w:val="00AE2F1F"/>
    <w:rsid w:val="00AE2FA2"/>
    <w:rsid w:val="00AE3B5F"/>
    <w:rsid w:val="00AE3CFD"/>
    <w:rsid w:val="00AE4E87"/>
    <w:rsid w:val="00AE55D2"/>
    <w:rsid w:val="00AE5846"/>
    <w:rsid w:val="00AE6AFB"/>
    <w:rsid w:val="00AE7106"/>
    <w:rsid w:val="00AE77A4"/>
    <w:rsid w:val="00AF06CB"/>
    <w:rsid w:val="00AF0C02"/>
    <w:rsid w:val="00AF15AF"/>
    <w:rsid w:val="00AF1B84"/>
    <w:rsid w:val="00AF37BE"/>
    <w:rsid w:val="00AF4D16"/>
    <w:rsid w:val="00AF4D2E"/>
    <w:rsid w:val="00AF5B4A"/>
    <w:rsid w:val="00AF5FF5"/>
    <w:rsid w:val="00AF6215"/>
    <w:rsid w:val="00B02307"/>
    <w:rsid w:val="00B0314F"/>
    <w:rsid w:val="00B03428"/>
    <w:rsid w:val="00B035CC"/>
    <w:rsid w:val="00B03FC0"/>
    <w:rsid w:val="00B06606"/>
    <w:rsid w:val="00B068D9"/>
    <w:rsid w:val="00B06E83"/>
    <w:rsid w:val="00B103CA"/>
    <w:rsid w:val="00B12A69"/>
    <w:rsid w:val="00B14087"/>
    <w:rsid w:val="00B156DB"/>
    <w:rsid w:val="00B15B66"/>
    <w:rsid w:val="00B17453"/>
    <w:rsid w:val="00B178AA"/>
    <w:rsid w:val="00B22257"/>
    <w:rsid w:val="00B222AD"/>
    <w:rsid w:val="00B22F77"/>
    <w:rsid w:val="00B23C2A"/>
    <w:rsid w:val="00B23CE0"/>
    <w:rsid w:val="00B23E2C"/>
    <w:rsid w:val="00B26878"/>
    <w:rsid w:val="00B268F6"/>
    <w:rsid w:val="00B27BEF"/>
    <w:rsid w:val="00B32FD9"/>
    <w:rsid w:val="00B34418"/>
    <w:rsid w:val="00B3452A"/>
    <w:rsid w:val="00B34F64"/>
    <w:rsid w:val="00B35E18"/>
    <w:rsid w:val="00B36509"/>
    <w:rsid w:val="00B41BB6"/>
    <w:rsid w:val="00B4276A"/>
    <w:rsid w:val="00B431C3"/>
    <w:rsid w:val="00B44B17"/>
    <w:rsid w:val="00B45E08"/>
    <w:rsid w:val="00B46B69"/>
    <w:rsid w:val="00B51E8B"/>
    <w:rsid w:val="00B522B8"/>
    <w:rsid w:val="00B524BF"/>
    <w:rsid w:val="00B53061"/>
    <w:rsid w:val="00B5338E"/>
    <w:rsid w:val="00B53B48"/>
    <w:rsid w:val="00B553BC"/>
    <w:rsid w:val="00B5561F"/>
    <w:rsid w:val="00B55F0E"/>
    <w:rsid w:val="00B564D2"/>
    <w:rsid w:val="00B570EA"/>
    <w:rsid w:val="00B57A8D"/>
    <w:rsid w:val="00B57F2F"/>
    <w:rsid w:val="00B6484F"/>
    <w:rsid w:val="00B6527B"/>
    <w:rsid w:val="00B67B3E"/>
    <w:rsid w:val="00B701BB"/>
    <w:rsid w:val="00B72B47"/>
    <w:rsid w:val="00B74C2B"/>
    <w:rsid w:val="00B762AD"/>
    <w:rsid w:val="00B766F7"/>
    <w:rsid w:val="00B76AC0"/>
    <w:rsid w:val="00B80087"/>
    <w:rsid w:val="00B81366"/>
    <w:rsid w:val="00B816CE"/>
    <w:rsid w:val="00B819EF"/>
    <w:rsid w:val="00B827FF"/>
    <w:rsid w:val="00B8392A"/>
    <w:rsid w:val="00B8445D"/>
    <w:rsid w:val="00B846E1"/>
    <w:rsid w:val="00B84CAA"/>
    <w:rsid w:val="00B9000E"/>
    <w:rsid w:val="00B90057"/>
    <w:rsid w:val="00B9010E"/>
    <w:rsid w:val="00B90384"/>
    <w:rsid w:val="00B9061C"/>
    <w:rsid w:val="00B90A67"/>
    <w:rsid w:val="00B90D54"/>
    <w:rsid w:val="00B9286C"/>
    <w:rsid w:val="00B93351"/>
    <w:rsid w:val="00B93FAF"/>
    <w:rsid w:val="00B94054"/>
    <w:rsid w:val="00B9439C"/>
    <w:rsid w:val="00B95B2D"/>
    <w:rsid w:val="00B960D7"/>
    <w:rsid w:val="00B967A7"/>
    <w:rsid w:val="00B96AC7"/>
    <w:rsid w:val="00B96DBD"/>
    <w:rsid w:val="00B972D1"/>
    <w:rsid w:val="00B9744A"/>
    <w:rsid w:val="00B97811"/>
    <w:rsid w:val="00BA0527"/>
    <w:rsid w:val="00BA0D89"/>
    <w:rsid w:val="00BA52EE"/>
    <w:rsid w:val="00BA6C89"/>
    <w:rsid w:val="00BA7D3C"/>
    <w:rsid w:val="00BB1122"/>
    <w:rsid w:val="00BB1DD0"/>
    <w:rsid w:val="00BB2C64"/>
    <w:rsid w:val="00BB2CFD"/>
    <w:rsid w:val="00BB6F57"/>
    <w:rsid w:val="00BC2074"/>
    <w:rsid w:val="00BC2A2A"/>
    <w:rsid w:val="00BC31F1"/>
    <w:rsid w:val="00BC3FA5"/>
    <w:rsid w:val="00BC46FA"/>
    <w:rsid w:val="00BC576D"/>
    <w:rsid w:val="00BC622C"/>
    <w:rsid w:val="00BC6589"/>
    <w:rsid w:val="00BC6A94"/>
    <w:rsid w:val="00BD01E3"/>
    <w:rsid w:val="00BD0813"/>
    <w:rsid w:val="00BD0CD7"/>
    <w:rsid w:val="00BD0FB8"/>
    <w:rsid w:val="00BD241F"/>
    <w:rsid w:val="00BD2A20"/>
    <w:rsid w:val="00BD403D"/>
    <w:rsid w:val="00BD5C05"/>
    <w:rsid w:val="00BD7002"/>
    <w:rsid w:val="00BD7EA7"/>
    <w:rsid w:val="00BE01B7"/>
    <w:rsid w:val="00BE0E0F"/>
    <w:rsid w:val="00BE3C7B"/>
    <w:rsid w:val="00BE6920"/>
    <w:rsid w:val="00BF15B7"/>
    <w:rsid w:val="00BF28A4"/>
    <w:rsid w:val="00BF2D83"/>
    <w:rsid w:val="00BF2E42"/>
    <w:rsid w:val="00BF32D0"/>
    <w:rsid w:val="00BF565F"/>
    <w:rsid w:val="00BF5C20"/>
    <w:rsid w:val="00BF6512"/>
    <w:rsid w:val="00BF76CB"/>
    <w:rsid w:val="00C00F99"/>
    <w:rsid w:val="00C0427F"/>
    <w:rsid w:val="00C0499C"/>
    <w:rsid w:val="00C0629C"/>
    <w:rsid w:val="00C10069"/>
    <w:rsid w:val="00C10150"/>
    <w:rsid w:val="00C102B5"/>
    <w:rsid w:val="00C1050D"/>
    <w:rsid w:val="00C12EDD"/>
    <w:rsid w:val="00C14296"/>
    <w:rsid w:val="00C148C1"/>
    <w:rsid w:val="00C16661"/>
    <w:rsid w:val="00C20880"/>
    <w:rsid w:val="00C23138"/>
    <w:rsid w:val="00C235CA"/>
    <w:rsid w:val="00C25CB9"/>
    <w:rsid w:val="00C27641"/>
    <w:rsid w:val="00C27BD9"/>
    <w:rsid w:val="00C308A7"/>
    <w:rsid w:val="00C31C69"/>
    <w:rsid w:val="00C32E7A"/>
    <w:rsid w:val="00C333C6"/>
    <w:rsid w:val="00C34F5E"/>
    <w:rsid w:val="00C35A51"/>
    <w:rsid w:val="00C37A33"/>
    <w:rsid w:val="00C41E4E"/>
    <w:rsid w:val="00C422BC"/>
    <w:rsid w:val="00C42A1D"/>
    <w:rsid w:val="00C42B47"/>
    <w:rsid w:val="00C43793"/>
    <w:rsid w:val="00C4397D"/>
    <w:rsid w:val="00C44BBE"/>
    <w:rsid w:val="00C4557D"/>
    <w:rsid w:val="00C469A4"/>
    <w:rsid w:val="00C507C3"/>
    <w:rsid w:val="00C50897"/>
    <w:rsid w:val="00C52188"/>
    <w:rsid w:val="00C52BAF"/>
    <w:rsid w:val="00C5358D"/>
    <w:rsid w:val="00C5491E"/>
    <w:rsid w:val="00C567E3"/>
    <w:rsid w:val="00C56AB8"/>
    <w:rsid w:val="00C56D03"/>
    <w:rsid w:val="00C607F8"/>
    <w:rsid w:val="00C61603"/>
    <w:rsid w:val="00C61E95"/>
    <w:rsid w:val="00C62BBB"/>
    <w:rsid w:val="00C6302E"/>
    <w:rsid w:val="00C6343D"/>
    <w:rsid w:val="00C63B3B"/>
    <w:rsid w:val="00C64AD3"/>
    <w:rsid w:val="00C66A8B"/>
    <w:rsid w:val="00C66F25"/>
    <w:rsid w:val="00C70F80"/>
    <w:rsid w:val="00C731E8"/>
    <w:rsid w:val="00C770B0"/>
    <w:rsid w:val="00C80108"/>
    <w:rsid w:val="00C8059A"/>
    <w:rsid w:val="00C832E2"/>
    <w:rsid w:val="00C83B2F"/>
    <w:rsid w:val="00C83DF8"/>
    <w:rsid w:val="00C858FA"/>
    <w:rsid w:val="00C8622B"/>
    <w:rsid w:val="00C86473"/>
    <w:rsid w:val="00C8699C"/>
    <w:rsid w:val="00C86A37"/>
    <w:rsid w:val="00C905FF"/>
    <w:rsid w:val="00C914FA"/>
    <w:rsid w:val="00C92523"/>
    <w:rsid w:val="00C92646"/>
    <w:rsid w:val="00C931E3"/>
    <w:rsid w:val="00C94582"/>
    <w:rsid w:val="00C945DD"/>
    <w:rsid w:val="00C94621"/>
    <w:rsid w:val="00C952EC"/>
    <w:rsid w:val="00C96307"/>
    <w:rsid w:val="00C96B7B"/>
    <w:rsid w:val="00C97298"/>
    <w:rsid w:val="00C976F1"/>
    <w:rsid w:val="00C97B0A"/>
    <w:rsid w:val="00CA0DC9"/>
    <w:rsid w:val="00CA1304"/>
    <w:rsid w:val="00CA17F0"/>
    <w:rsid w:val="00CA391F"/>
    <w:rsid w:val="00CA43A1"/>
    <w:rsid w:val="00CA4E97"/>
    <w:rsid w:val="00CA5249"/>
    <w:rsid w:val="00CB2DEC"/>
    <w:rsid w:val="00CB37B5"/>
    <w:rsid w:val="00CB3D60"/>
    <w:rsid w:val="00CB41C7"/>
    <w:rsid w:val="00CB4400"/>
    <w:rsid w:val="00CB4519"/>
    <w:rsid w:val="00CB4A48"/>
    <w:rsid w:val="00CB59D1"/>
    <w:rsid w:val="00CB5F0C"/>
    <w:rsid w:val="00CC0F54"/>
    <w:rsid w:val="00CC3062"/>
    <w:rsid w:val="00CC3D0D"/>
    <w:rsid w:val="00CC4A51"/>
    <w:rsid w:val="00CC6FA2"/>
    <w:rsid w:val="00CC7502"/>
    <w:rsid w:val="00CC7DBE"/>
    <w:rsid w:val="00CD1122"/>
    <w:rsid w:val="00CD23DC"/>
    <w:rsid w:val="00CD27C9"/>
    <w:rsid w:val="00CD33C4"/>
    <w:rsid w:val="00CD4424"/>
    <w:rsid w:val="00CD4510"/>
    <w:rsid w:val="00CD521B"/>
    <w:rsid w:val="00CD570D"/>
    <w:rsid w:val="00CD5730"/>
    <w:rsid w:val="00CD5B9E"/>
    <w:rsid w:val="00CD6343"/>
    <w:rsid w:val="00CD7B91"/>
    <w:rsid w:val="00CD7F10"/>
    <w:rsid w:val="00CE17A5"/>
    <w:rsid w:val="00CE2B9B"/>
    <w:rsid w:val="00CE3E3E"/>
    <w:rsid w:val="00CE44C5"/>
    <w:rsid w:val="00CE4A24"/>
    <w:rsid w:val="00CE6A37"/>
    <w:rsid w:val="00CE6D6D"/>
    <w:rsid w:val="00CF07C8"/>
    <w:rsid w:val="00CF0FA7"/>
    <w:rsid w:val="00CF110A"/>
    <w:rsid w:val="00CF19DA"/>
    <w:rsid w:val="00CF1C3C"/>
    <w:rsid w:val="00CF1F0A"/>
    <w:rsid w:val="00CF55FD"/>
    <w:rsid w:val="00CF561E"/>
    <w:rsid w:val="00CF5716"/>
    <w:rsid w:val="00CF5E20"/>
    <w:rsid w:val="00CF6520"/>
    <w:rsid w:val="00CF65CD"/>
    <w:rsid w:val="00CF7499"/>
    <w:rsid w:val="00CF7B71"/>
    <w:rsid w:val="00D02FFC"/>
    <w:rsid w:val="00D03592"/>
    <w:rsid w:val="00D0366F"/>
    <w:rsid w:val="00D036B0"/>
    <w:rsid w:val="00D03FB8"/>
    <w:rsid w:val="00D044DD"/>
    <w:rsid w:val="00D04B39"/>
    <w:rsid w:val="00D051DE"/>
    <w:rsid w:val="00D073D6"/>
    <w:rsid w:val="00D1044D"/>
    <w:rsid w:val="00D105D7"/>
    <w:rsid w:val="00D11503"/>
    <w:rsid w:val="00D14796"/>
    <w:rsid w:val="00D1613E"/>
    <w:rsid w:val="00D164E0"/>
    <w:rsid w:val="00D16938"/>
    <w:rsid w:val="00D16D7D"/>
    <w:rsid w:val="00D1703E"/>
    <w:rsid w:val="00D177E8"/>
    <w:rsid w:val="00D17ACB"/>
    <w:rsid w:val="00D20077"/>
    <w:rsid w:val="00D23445"/>
    <w:rsid w:val="00D24A32"/>
    <w:rsid w:val="00D26EB7"/>
    <w:rsid w:val="00D27FDC"/>
    <w:rsid w:val="00D308D9"/>
    <w:rsid w:val="00D30DD9"/>
    <w:rsid w:val="00D320A4"/>
    <w:rsid w:val="00D33852"/>
    <w:rsid w:val="00D345A9"/>
    <w:rsid w:val="00D3494F"/>
    <w:rsid w:val="00D349D1"/>
    <w:rsid w:val="00D4229E"/>
    <w:rsid w:val="00D47213"/>
    <w:rsid w:val="00D51BD8"/>
    <w:rsid w:val="00D5513A"/>
    <w:rsid w:val="00D56113"/>
    <w:rsid w:val="00D572EB"/>
    <w:rsid w:val="00D61F41"/>
    <w:rsid w:val="00D62097"/>
    <w:rsid w:val="00D62C77"/>
    <w:rsid w:val="00D62DA7"/>
    <w:rsid w:val="00D668BF"/>
    <w:rsid w:val="00D679DE"/>
    <w:rsid w:val="00D706EC"/>
    <w:rsid w:val="00D7081E"/>
    <w:rsid w:val="00D726E8"/>
    <w:rsid w:val="00D73BF2"/>
    <w:rsid w:val="00D743B6"/>
    <w:rsid w:val="00D74414"/>
    <w:rsid w:val="00D74957"/>
    <w:rsid w:val="00D76381"/>
    <w:rsid w:val="00D76DFA"/>
    <w:rsid w:val="00D77F3B"/>
    <w:rsid w:val="00D77F66"/>
    <w:rsid w:val="00D77F94"/>
    <w:rsid w:val="00D80059"/>
    <w:rsid w:val="00D803E2"/>
    <w:rsid w:val="00D80B78"/>
    <w:rsid w:val="00D8198A"/>
    <w:rsid w:val="00D81B3B"/>
    <w:rsid w:val="00D81E7C"/>
    <w:rsid w:val="00D84113"/>
    <w:rsid w:val="00D84D85"/>
    <w:rsid w:val="00D8507B"/>
    <w:rsid w:val="00D86132"/>
    <w:rsid w:val="00D86A81"/>
    <w:rsid w:val="00D87DDE"/>
    <w:rsid w:val="00D91B2E"/>
    <w:rsid w:val="00D925BC"/>
    <w:rsid w:val="00D92DC5"/>
    <w:rsid w:val="00D92E2E"/>
    <w:rsid w:val="00D92F87"/>
    <w:rsid w:val="00D94D1E"/>
    <w:rsid w:val="00D94F12"/>
    <w:rsid w:val="00D95EEA"/>
    <w:rsid w:val="00DA08AC"/>
    <w:rsid w:val="00DA1725"/>
    <w:rsid w:val="00DA1A87"/>
    <w:rsid w:val="00DA3C31"/>
    <w:rsid w:val="00DB2075"/>
    <w:rsid w:val="00DB24BF"/>
    <w:rsid w:val="00DB3CD9"/>
    <w:rsid w:val="00DB525D"/>
    <w:rsid w:val="00DB55B9"/>
    <w:rsid w:val="00DB6D53"/>
    <w:rsid w:val="00DB6EE5"/>
    <w:rsid w:val="00DB6F7F"/>
    <w:rsid w:val="00DC1119"/>
    <w:rsid w:val="00DC2413"/>
    <w:rsid w:val="00DC3CE7"/>
    <w:rsid w:val="00DC40DC"/>
    <w:rsid w:val="00DC54C8"/>
    <w:rsid w:val="00DC5857"/>
    <w:rsid w:val="00DC692D"/>
    <w:rsid w:val="00DC739A"/>
    <w:rsid w:val="00DD0F60"/>
    <w:rsid w:val="00DD1D3F"/>
    <w:rsid w:val="00DD27CA"/>
    <w:rsid w:val="00DD29DC"/>
    <w:rsid w:val="00DD404A"/>
    <w:rsid w:val="00DD423A"/>
    <w:rsid w:val="00DD4E93"/>
    <w:rsid w:val="00DD4F5E"/>
    <w:rsid w:val="00DD5080"/>
    <w:rsid w:val="00DD5BBB"/>
    <w:rsid w:val="00DD6A96"/>
    <w:rsid w:val="00DD766A"/>
    <w:rsid w:val="00DE000D"/>
    <w:rsid w:val="00DE09D9"/>
    <w:rsid w:val="00DE1C54"/>
    <w:rsid w:val="00DE1FE6"/>
    <w:rsid w:val="00DE30A8"/>
    <w:rsid w:val="00DE473B"/>
    <w:rsid w:val="00DE47A0"/>
    <w:rsid w:val="00DE5D6E"/>
    <w:rsid w:val="00DE63F9"/>
    <w:rsid w:val="00DE66F8"/>
    <w:rsid w:val="00DE71DD"/>
    <w:rsid w:val="00DE78AE"/>
    <w:rsid w:val="00DE78FA"/>
    <w:rsid w:val="00DF0A1D"/>
    <w:rsid w:val="00DF1A83"/>
    <w:rsid w:val="00DF238C"/>
    <w:rsid w:val="00DF4393"/>
    <w:rsid w:val="00DF4CEE"/>
    <w:rsid w:val="00DF7728"/>
    <w:rsid w:val="00E0126F"/>
    <w:rsid w:val="00E01A36"/>
    <w:rsid w:val="00E01BA0"/>
    <w:rsid w:val="00E021E3"/>
    <w:rsid w:val="00E023AA"/>
    <w:rsid w:val="00E02533"/>
    <w:rsid w:val="00E02D88"/>
    <w:rsid w:val="00E03DDD"/>
    <w:rsid w:val="00E04447"/>
    <w:rsid w:val="00E04F7D"/>
    <w:rsid w:val="00E06574"/>
    <w:rsid w:val="00E06970"/>
    <w:rsid w:val="00E079CA"/>
    <w:rsid w:val="00E101E0"/>
    <w:rsid w:val="00E111B8"/>
    <w:rsid w:val="00E1167F"/>
    <w:rsid w:val="00E11C73"/>
    <w:rsid w:val="00E11D9C"/>
    <w:rsid w:val="00E15108"/>
    <w:rsid w:val="00E15CA5"/>
    <w:rsid w:val="00E20067"/>
    <w:rsid w:val="00E20633"/>
    <w:rsid w:val="00E20A2C"/>
    <w:rsid w:val="00E22258"/>
    <w:rsid w:val="00E22872"/>
    <w:rsid w:val="00E2502A"/>
    <w:rsid w:val="00E251B6"/>
    <w:rsid w:val="00E313DA"/>
    <w:rsid w:val="00E32A95"/>
    <w:rsid w:val="00E32B8C"/>
    <w:rsid w:val="00E33BE9"/>
    <w:rsid w:val="00E34923"/>
    <w:rsid w:val="00E34CA5"/>
    <w:rsid w:val="00E3557E"/>
    <w:rsid w:val="00E35A71"/>
    <w:rsid w:val="00E35E89"/>
    <w:rsid w:val="00E3639B"/>
    <w:rsid w:val="00E36862"/>
    <w:rsid w:val="00E373C9"/>
    <w:rsid w:val="00E401A4"/>
    <w:rsid w:val="00E404F9"/>
    <w:rsid w:val="00E41449"/>
    <w:rsid w:val="00E414CC"/>
    <w:rsid w:val="00E41B3A"/>
    <w:rsid w:val="00E4328D"/>
    <w:rsid w:val="00E44773"/>
    <w:rsid w:val="00E4491D"/>
    <w:rsid w:val="00E467E7"/>
    <w:rsid w:val="00E50F60"/>
    <w:rsid w:val="00E513E0"/>
    <w:rsid w:val="00E53462"/>
    <w:rsid w:val="00E539E7"/>
    <w:rsid w:val="00E56779"/>
    <w:rsid w:val="00E604EE"/>
    <w:rsid w:val="00E6109D"/>
    <w:rsid w:val="00E63C1C"/>
    <w:rsid w:val="00E66BA4"/>
    <w:rsid w:val="00E66DB2"/>
    <w:rsid w:val="00E66F0F"/>
    <w:rsid w:val="00E67C6B"/>
    <w:rsid w:val="00E7095D"/>
    <w:rsid w:val="00E712F7"/>
    <w:rsid w:val="00E71F2C"/>
    <w:rsid w:val="00E72FFF"/>
    <w:rsid w:val="00E7415A"/>
    <w:rsid w:val="00E75EAB"/>
    <w:rsid w:val="00E8000A"/>
    <w:rsid w:val="00E809A7"/>
    <w:rsid w:val="00E80CC5"/>
    <w:rsid w:val="00E81A07"/>
    <w:rsid w:val="00E81CC9"/>
    <w:rsid w:val="00E825CA"/>
    <w:rsid w:val="00E8370D"/>
    <w:rsid w:val="00E84118"/>
    <w:rsid w:val="00E84B8C"/>
    <w:rsid w:val="00E857E0"/>
    <w:rsid w:val="00E86979"/>
    <w:rsid w:val="00E909DE"/>
    <w:rsid w:val="00E918A1"/>
    <w:rsid w:val="00E926F1"/>
    <w:rsid w:val="00E92EF9"/>
    <w:rsid w:val="00E94862"/>
    <w:rsid w:val="00E95956"/>
    <w:rsid w:val="00E96B43"/>
    <w:rsid w:val="00E972E9"/>
    <w:rsid w:val="00EA1519"/>
    <w:rsid w:val="00EA1D11"/>
    <w:rsid w:val="00EA1E6B"/>
    <w:rsid w:val="00EA3214"/>
    <w:rsid w:val="00EA4FBB"/>
    <w:rsid w:val="00EA5D5C"/>
    <w:rsid w:val="00EB0407"/>
    <w:rsid w:val="00EB0536"/>
    <w:rsid w:val="00EB0968"/>
    <w:rsid w:val="00EB2587"/>
    <w:rsid w:val="00EB2763"/>
    <w:rsid w:val="00EB3E5A"/>
    <w:rsid w:val="00EB42A8"/>
    <w:rsid w:val="00EB5601"/>
    <w:rsid w:val="00EB62C0"/>
    <w:rsid w:val="00EB74B6"/>
    <w:rsid w:val="00EC0634"/>
    <w:rsid w:val="00EC33F6"/>
    <w:rsid w:val="00EC4070"/>
    <w:rsid w:val="00EC501A"/>
    <w:rsid w:val="00EC526F"/>
    <w:rsid w:val="00EC5748"/>
    <w:rsid w:val="00EC5C01"/>
    <w:rsid w:val="00EC6C5B"/>
    <w:rsid w:val="00EC7A70"/>
    <w:rsid w:val="00ED0A75"/>
    <w:rsid w:val="00ED214C"/>
    <w:rsid w:val="00ED43BA"/>
    <w:rsid w:val="00ED7203"/>
    <w:rsid w:val="00EE242A"/>
    <w:rsid w:val="00EF0286"/>
    <w:rsid w:val="00EF08E3"/>
    <w:rsid w:val="00EF2E4D"/>
    <w:rsid w:val="00EF3427"/>
    <w:rsid w:val="00EF5074"/>
    <w:rsid w:val="00F01968"/>
    <w:rsid w:val="00F020F8"/>
    <w:rsid w:val="00F0278D"/>
    <w:rsid w:val="00F02995"/>
    <w:rsid w:val="00F02F9C"/>
    <w:rsid w:val="00F0302B"/>
    <w:rsid w:val="00F056D7"/>
    <w:rsid w:val="00F103B3"/>
    <w:rsid w:val="00F10410"/>
    <w:rsid w:val="00F1057E"/>
    <w:rsid w:val="00F10924"/>
    <w:rsid w:val="00F1093D"/>
    <w:rsid w:val="00F1192F"/>
    <w:rsid w:val="00F125AD"/>
    <w:rsid w:val="00F12C51"/>
    <w:rsid w:val="00F14B5A"/>
    <w:rsid w:val="00F14BA0"/>
    <w:rsid w:val="00F1548E"/>
    <w:rsid w:val="00F15CEC"/>
    <w:rsid w:val="00F16569"/>
    <w:rsid w:val="00F171A1"/>
    <w:rsid w:val="00F178DE"/>
    <w:rsid w:val="00F17EF3"/>
    <w:rsid w:val="00F2030D"/>
    <w:rsid w:val="00F2252C"/>
    <w:rsid w:val="00F233C0"/>
    <w:rsid w:val="00F24C02"/>
    <w:rsid w:val="00F25DB5"/>
    <w:rsid w:val="00F2666B"/>
    <w:rsid w:val="00F27A99"/>
    <w:rsid w:val="00F30EE6"/>
    <w:rsid w:val="00F3119C"/>
    <w:rsid w:val="00F31ECF"/>
    <w:rsid w:val="00F34445"/>
    <w:rsid w:val="00F34BA8"/>
    <w:rsid w:val="00F37E53"/>
    <w:rsid w:val="00F40B38"/>
    <w:rsid w:val="00F40B9D"/>
    <w:rsid w:val="00F43209"/>
    <w:rsid w:val="00F437AF"/>
    <w:rsid w:val="00F43BB8"/>
    <w:rsid w:val="00F43DBA"/>
    <w:rsid w:val="00F444B7"/>
    <w:rsid w:val="00F45304"/>
    <w:rsid w:val="00F45E89"/>
    <w:rsid w:val="00F46AB9"/>
    <w:rsid w:val="00F46B5A"/>
    <w:rsid w:val="00F46CC7"/>
    <w:rsid w:val="00F4736E"/>
    <w:rsid w:val="00F50E12"/>
    <w:rsid w:val="00F50E71"/>
    <w:rsid w:val="00F519E6"/>
    <w:rsid w:val="00F52633"/>
    <w:rsid w:val="00F53DC4"/>
    <w:rsid w:val="00F57032"/>
    <w:rsid w:val="00F6089E"/>
    <w:rsid w:val="00F60C35"/>
    <w:rsid w:val="00F6104A"/>
    <w:rsid w:val="00F61D99"/>
    <w:rsid w:val="00F62EB2"/>
    <w:rsid w:val="00F63453"/>
    <w:rsid w:val="00F640E5"/>
    <w:rsid w:val="00F65292"/>
    <w:rsid w:val="00F652F7"/>
    <w:rsid w:val="00F65589"/>
    <w:rsid w:val="00F65955"/>
    <w:rsid w:val="00F66234"/>
    <w:rsid w:val="00F71F82"/>
    <w:rsid w:val="00F72CEA"/>
    <w:rsid w:val="00F7361B"/>
    <w:rsid w:val="00F746B6"/>
    <w:rsid w:val="00F74C73"/>
    <w:rsid w:val="00F75CA3"/>
    <w:rsid w:val="00F76488"/>
    <w:rsid w:val="00F76B77"/>
    <w:rsid w:val="00F76F8A"/>
    <w:rsid w:val="00F80238"/>
    <w:rsid w:val="00F82DBB"/>
    <w:rsid w:val="00F83572"/>
    <w:rsid w:val="00F8357C"/>
    <w:rsid w:val="00F85AB4"/>
    <w:rsid w:val="00F85E4C"/>
    <w:rsid w:val="00F86215"/>
    <w:rsid w:val="00F86688"/>
    <w:rsid w:val="00F8713D"/>
    <w:rsid w:val="00F87ECD"/>
    <w:rsid w:val="00F90B68"/>
    <w:rsid w:val="00F91888"/>
    <w:rsid w:val="00F92D7A"/>
    <w:rsid w:val="00F947AE"/>
    <w:rsid w:val="00F94D3D"/>
    <w:rsid w:val="00F94EF4"/>
    <w:rsid w:val="00F9609B"/>
    <w:rsid w:val="00F972B9"/>
    <w:rsid w:val="00FA0A5E"/>
    <w:rsid w:val="00FA1C4A"/>
    <w:rsid w:val="00FA2C99"/>
    <w:rsid w:val="00FA3625"/>
    <w:rsid w:val="00FA3790"/>
    <w:rsid w:val="00FA61F0"/>
    <w:rsid w:val="00FA64DA"/>
    <w:rsid w:val="00FA652A"/>
    <w:rsid w:val="00FA7D7E"/>
    <w:rsid w:val="00FB3225"/>
    <w:rsid w:val="00FB4BD9"/>
    <w:rsid w:val="00FB4C0B"/>
    <w:rsid w:val="00FB5BF5"/>
    <w:rsid w:val="00FB5EDF"/>
    <w:rsid w:val="00FB6C47"/>
    <w:rsid w:val="00FB6CBA"/>
    <w:rsid w:val="00FB702E"/>
    <w:rsid w:val="00FB7E2B"/>
    <w:rsid w:val="00FC1729"/>
    <w:rsid w:val="00FC1997"/>
    <w:rsid w:val="00FC21E2"/>
    <w:rsid w:val="00FC2995"/>
    <w:rsid w:val="00FC2D50"/>
    <w:rsid w:val="00FC345F"/>
    <w:rsid w:val="00FC4B72"/>
    <w:rsid w:val="00FC4D89"/>
    <w:rsid w:val="00FC505D"/>
    <w:rsid w:val="00FC5206"/>
    <w:rsid w:val="00FC5536"/>
    <w:rsid w:val="00FC5E3F"/>
    <w:rsid w:val="00FC6715"/>
    <w:rsid w:val="00FD028C"/>
    <w:rsid w:val="00FD1ECB"/>
    <w:rsid w:val="00FD21B0"/>
    <w:rsid w:val="00FD2217"/>
    <w:rsid w:val="00FD38D8"/>
    <w:rsid w:val="00FD4477"/>
    <w:rsid w:val="00FD5AA1"/>
    <w:rsid w:val="00FD61A2"/>
    <w:rsid w:val="00FD6ABB"/>
    <w:rsid w:val="00FD76CC"/>
    <w:rsid w:val="00FD7796"/>
    <w:rsid w:val="00FE0365"/>
    <w:rsid w:val="00FE097C"/>
    <w:rsid w:val="00FE0CF9"/>
    <w:rsid w:val="00FE3F4D"/>
    <w:rsid w:val="00FE45A9"/>
    <w:rsid w:val="00FE49E7"/>
    <w:rsid w:val="00FE5074"/>
    <w:rsid w:val="00FE5147"/>
    <w:rsid w:val="00FE5169"/>
    <w:rsid w:val="00FE5649"/>
    <w:rsid w:val="00FE5DBC"/>
    <w:rsid w:val="00FE6FDC"/>
    <w:rsid w:val="00FE7080"/>
    <w:rsid w:val="00FE71D7"/>
    <w:rsid w:val="00FE7682"/>
    <w:rsid w:val="00FE7AA3"/>
    <w:rsid w:val="00FE7B30"/>
    <w:rsid w:val="00FF014F"/>
    <w:rsid w:val="00FF03D7"/>
    <w:rsid w:val="00FF1833"/>
    <w:rsid w:val="00FF3262"/>
    <w:rsid w:val="00FF578E"/>
    <w:rsid w:val="00FF6451"/>
    <w:rsid w:val="00FF6DC0"/>
    <w:rsid w:val="00FF793B"/>
    <w:rsid w:val="192291F2"/>
    <w:rsid w:val="325832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8"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31C8BA87"/>
  <w15:docId w15:val="{44FA0C1F-ECB3-4B32-9F91-8ECBBECD0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qFormat/>
    <w:rsid w:val="009039A6"/>
    <w:pPr>
      <w:keepNext/>
      <w:keepLines/>
      <w:pageBreakBefore/>
      <w:numPr>
        <w:numId w:val="43"/>
      </w:numPr>
      <w:tabs>
        <w:tab w:val="left" w:pos="1134"/>
      </w:tabs>
      <w:spacing w:after="600" w:line="480" w:lineRule="exact"/>
      <w:outlineLvl w:val="0"/>
    </w:pPr>
    <w:rPr>
      <w:rFonts w:eastAsiaTheme="majorEastAsia" w:cstheme="majorBidi"/>
      <w:b/>
      <w:bCs/>
      <w:color w:val="00313C" w:themeColor="accent2"/>
      <w:sz w:val="40"/>
      <w:szCs w:val="28"/>
    </w:rPr>
  </w:style>
  <w:style w:type="paragraph" w:styleId="Heading2">
    <w:name w:val="heading 2"/>
    <w:basedOn w:val="Heading1"/>
    <w:next w:val="BodyText"/>
    <w:link w:val="Heading2Char"/>
    <w:qFormat/>
    <w:rsid w:val="00A90F41"/>
    <w:pPr>
      <w:pageBreakBefore w:val="0"/>
      <w:numPr>
        <w:ilvl w:val="1"/>
      </w:numPr>
      <w:spacing w:before="360" w:after="240" w:line="240" w:lineRule="auto"/>
      <w:outlineLvl w:val="1"/>
    </w:pPr>
    <w:rPr>
      <w:b w:val="0"/>
      <w:sz w:val="32"/>
      <w:szCs w:val="26"/>
    </w:rPr>
  </w:style>
  <w:style w:type="paragraph" w:styleId="Heading3">
    <w:name w:val="heading 3"/>
    <w:basedOn w:val="Heading2"/>
    <w:next w:val="BodyText"/>
    <w:link w:val="Heading3Char"/>
    <w:qFormat/>
    <w:rsid w:val="00E71F2C"/>
    <w:pPr>
      <w:numPr>
        <w:ilvl w:val="2"/>
      </w:numPr>
      <w:outlineLvl w:val="2"/>
    </w:pPr>
    <w:rPr>
      <w:b/>
      <w:color w:val="auto"/>
      <w:sz w:val="26"/>
    </w:rPr>
  </w:style>
  <w:style w:type="paragraph" w:styleId="Heading4">
    <w:name w:val="heading 4"/>
    <w:aliases w:val="Appendix level 2"/>
    <w:basedOn w:val="Heading3"/>
    <w:next w:val="BodyText"/>
    <w:link w:val="Heading4Char"/>
    <w:qFormat/>
    <w:rsid w:val="001B336D"/>
    <w:pPr>
      <w:numPr>
        <w:ilvl w:val="0"/>
        <w:numId w:val="0"/>
      </w:numPr>
      <w:spacing w:before="240" w:after="120"/>
      <w:outlineLvl w:val="3"/>
    </w:pPr>
    <w:rPr>
      <w:iCs/>
      <w:color w:val="007E9A" w:themeColor="accent1" w:themeShade="BF"/>
      <w:spacing w:val="1"/>
      <w:sz w:val="4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CB3D60"/>
    <w:pPr>
      <w:spacing w:after="60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039A6"/>
    <w:rPr>
      <w:rFonts w:eastAsiaTheme="majorEastAsia" w:cstheme="majorBidi"/>
      <w:b/>
      <w:bCs/>
      <w:color w:val="00313C" w:themeColor="accent2"/>
      <w:sz w:val="40"/>
      <w:szCs w:val="28"/>
    </w:rPr>
  </w:style>
  <w:style w:type="character" w:customStyle="1" w:styleId="Heading2Char">
    <w:name w:val="Heading 2 Char"/>
    <w:basedOn w:val="DefaultParagraphFont"/>
    <w:link w:val="Heading2"/>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locked/>
    <w:rsid w:val="00E71F2C"/>
    <w:rPr>
      <w:rFonts w:eastAsiaTheme="majorEastAsia" w:cstheme="majorBidi"/>
      <w:b/>
      <w:bCs/>
      <w:sz w:val="26"/>
      <w:szCs w:val="26"/>
    </w:rPr>
  </w:style>
  <w:style w:type="character" w:customStyle="1" w:styleId="Heading4Char">
    <w:name w:val="Heading 4 Char"/>
    <w:aliases w:val="Appendix level 2 Char"/>
    <w:basedOn w:val="DefaultParagraphFont"/>
    <w:link w:val="Heading4"/>
    <w:locked/>
    <w:rsid w:val="001B336D"/>
    <w:rPr>
      <w:rFonts w:eastAsiaTheme="majorEastAsia" w:cstheme="majorBidi"/>
      <w:b/>
      <w:bCs/>
      <w:iCs/>
      <w:color w:val="007E9A" w:themeColor="accent1" w:themeShade="BF"/>
      <w:spacing w:val="1"/>
      <w:sz w:val="4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CB3D60"/>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ind w:left="198" w:hanging="198"/>
    </w:pPr>
  </w:style>
  <w:style w:type="paragraph" w:styleId="ListNumber">
    <w:name w:val="List Number"/>
    <w:basedOn w:val="BodyText"/>
    <w:next w:val="BodyText"/>
    <w:uiPriority w:val="2"/>
    <w:qFormat/>
    <w:rsid w:val="00D349D1"/>
    <w:pPr>
      <w:numPr>
        <w:numId w:val="8"/>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44662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5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qFormat/>
    <w:rsid w:val="00DC2413"/>
    <w:pPr>
      <w:spacing w:before="60" w:line="180" w:lineRule="atLeast"/>
    </w:pPr>
    <w:rPr>
      <w:sz w:val="16"/>
      <w:szCs w:val="20"/>
    </w:rPr>
  </w:style>
  <w:style w:type="character" w:customStyle="1" w:styleId="FootnoteTextChar">
    <w:name w:val="Footnote Text Char"/>
    <w:basedOn w:val="DefaultParagraphFont"/>
    <w:link w:val="FootnoteText"/>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link w:val="CaptionChar"/>
    <w:qFormat/>
    <w:rsid w:val="00130947"/>
    <w:pPr>
      <w:keepNext/>
      <w:spacing w:before="180" w:after="180"/>
      <w:contextualSpacing/>
    </w:pPr>
    <w:rPr>
      <w:bCs/>
      <w:color w:val="auto"/>
      <w:sz w:val="18"/>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975E7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uiPriority w:val="1"/>
    <w:qFormat/>
    <w:locked/>
    <w:rsid w:val="00CB3D60"/>
    <w:pPr>
      <w:spacing w:before="120" w:after="120" w:line="264" w:lineRule="auto"/>
    </w:pPr>
    <w:rPr>
      <w:rFonts w:eastAsia="Calibri"/>
      <w:color w:val="000000"/>
    </w:rPr>
  </w:style>
  <w:style w:type="character" w:customStyle="1" w:styleId="BodyTextChar">
    <w:name w:val="Body Text Char"/>
    <w:basedOn w:val="DefaultParagraphFont"/>
    <w:link w:val="BodyText"/>
    <w:uiPriority w:val="1"/>
    <w:locked/>
    <w:rsid w:val="00CB3D60"/>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595E34"/>
    <w:pPr>
      <w:numPr>
        <w:numId w:val="17"/>
      </w:numPr>
      <w:spacing w:before="0" w:after="0"/>
      <w:ind w:left="454" w:hanging="227"/>
      <w:contextualSpacing/>
    </w:pPr>
  </w:style>
  <w:style w:type="paragraph" w:customStyle="1" w:styleId="Bullets2">
    <w:name w:val="Bullets 2"/>
    <w:qFormat/>
    <w:rsid w:val="007A727E"/>
    <w:pPr>
      <w:numPr>
        <w:numId w:val="18"/>
      </w:numPr>
      <w:tabs>
        <w:tab w:val="left" w:pos="1701"/>
      </w:tabs>
      <w:spacing w:line="280" w:lineRule="exact"/>
    </w:pPr>
    <w:rPr>
      <w:rFonts w:ascii="Arial" w:eastAsia="Times New Roman" w:hAnsi="Arial"/>
      <w:sz w:val="20"/>
      <w:szCs w:val="24"/>
      <w:lang w:eastAsia="en-US"/>
    </w:rPr>
  </w:style>
  <w:style w:type="paragraph" w:customStyle="1" w:styleId="paragraph">
    <w:name w:val="paragraph"/>
    <w:basedOn w:val="Normal"/>
    <w:rsid w:val="00113A72"/>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113A72"/>
  </w:style>
  <w:style w:type="character" w:customStyle="1" w:styleId="eop">
    <w:name w:val="eop"/>
    <w:basedOn w:val="DefaultParagraphFont"/>
    <w:rsid w:val="00113A72"/>
  </w:style>
  <w:style w:type="character" w:customStyle="1" w:styleId="spellingerror">
    <w:name w:val="spellingerror"/>
    <w:basedOn w:val="DefaultParagraphFont"/>
    <w:rsid w:val="00113A72"/>
  </w:style>
  <w:style w:type="paragraph" w:styleId="Revision">
    <w:name w:val="Revision"/>
    <w:hidden/>
    <w:uiPriority w:val="99"/>
    <w:semiHidden/>
    <w:rsid w:val="00026971"/>
    <w:rPr>
      <w:rFonts w:eastAsia="Calibri"/>
      <w:color w:val="000000"/>
    </w:rPr>
  </w:style>
  <w:style w:type="character" w:customStyle="1" w:styleId="CaptionChar">
    <w:name w:val="Caption Char"/>
    <w:link w:val="Caption"/>
    <w:rsid w:val="00130947"/>
    <w:rPr>
      <w:rFonts w:eastAsia="Calibri"/>
      <w:bCs/>
      <w:sz w:val="18"/>
      <w:szCs w:val="18"/>
    </w:rPr>
  </w:style>
  <w:style w:type="table" w:customStyle="1" w:styleId="TableGrid10">
    <w:name w:val="Table Grid1"/>
    <w:basedOn w:val="TableNormal"/>
    <w:next w:val="TableGrid"/>
    <w:rsid w:val="00C20880"/>
    <w:rPr>
      <w:rFonts w:ascii="Arial" w:eastAsia="Times New Roman" w:hAnsi="Arial"/>
      <w:sz w:val="20"/>
      <w:szCs w:val="20"/>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styleId="NoSpacing">
    <w:name w:val="No Spacing"/>
    <w:uiPriority w:val="1"/>
    <w:qFormat/>
    <w:rsid w:val="00E7415A"/>
    <w:rPr>
      <w:rFonts w:asciiTheme="minorHAnsi" w:hAnsiTheme="minorHAnsi" w:cstheme="minorBidi"/>
      <w:lang w:eastAsia="en-US"/>
    </w:rPr>
  </w:style>
  <w:style w:type="paragraph" w:customStyle="1" w:styleId="Default">
    <w:name w:val="Default"/>
    <w:rsid w:val="00D33852"/>
    <w:pPr>
      <w:autoSpaceDE w:val="0"/>
      <w:autoSpaceDN w:val="0"/>
      <w:adjustRightInd w:val="0"/>
    </w:pPr>
    <w:rPr>
      <w:rFonts w:ascii="Arial" w:eastAsia="Times New Roman" w:hAnsi="Arial" w:cs="Arial"/>
      <w:color w:val="000000"/>
      <w:sz w:val="24"/>
      <w:szCs w:val="24"/>
    </w:rPr>
  </w:style>
  <w:style w:type="paragraph" w:customStyle="1" w:styleId="Head1Headings">
    <w:name w:val="Head_1 (Headings)"/>
    <w:basedOn w:val="Normal"/>
    <w:uiPriority w:val="99"/>
    <w:rsid w:val="00D33852"/>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eastAsia="MS Mincho" w:hAnsi="Calibri-Bold" w:cs="Calibri-Bold"/>
      <w:b/>
      <w:bCs/>
      <w:color w:val="00ADEF"/>
      <w:sz w:val="48"/>
      <w:szCs w:val="4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9540">
      <w:bodyDiv w:val="1"/>
      <w:marLeft w:val="0"/>
      <w:marRight w:val="0"/>
      <w:marTop w:val="0"/>
      <w:marBottom w:val="0"/>
      <w:divBdr>
        <w:top w:val="none" w:sz="0" w:space="0" w:color="auto"/>
        <w:left w:val="none" w:sz="0" w:space="0" w:color="auto"/>
        <w:bottom w:val="none" w:sz="0" w:space="0" w:color="auto"/>
        <w:right w:val="none" w:sz="0" w:space="0" w:color="auto"/>
      </w:divBdr>
      <w:divsChild>
        <w:div w:id="1470829592">
          <w:marLeft w:val="0"/>
          <w:marRight w:val="0"/>
          <w:marTop w:val="0"/>
          <w:marBottom w:val="0"/>
          <w:divBdr>
            <w:top w:val="none" w:sz="0" w:space="0" w:color="auto"/>
            <w:left w:val="none" w:sz="0" w:space="0" w:color="auto"/>
            <w:bottom w:val="none" w:sz="0" w:space="0" w:color="auto"/>
            <w:right w:val="none" w:sz="0" w:space="0" w:color="auto"/>
          </w:divBdr>
        </w:div>
        <w:div w:id="1617133197">
          <w:marLeft w:val="0"/>
          <w:marRight w:val="0"/>
          <w:marTop w:val="0"/>
          <w:marBottom w:val="0"/>
          <w:divBdr>
            <w:top w:val="none" w:sz="0" w:space="0" w:color="auto"/>
            <w:left w:val="none" w:sz="0" w:space="0" w:color="auto"/>
            <w:bottom w:val="none" w:sz="0" w:space="0" w:color="auto"/>
            <w:right w:val="none" w:sz="0" w:space="0" w:color="auto"/>
          </w:divBdr>
        </w:div>
        <w:div w:id="1877964997">
          <w:marLeft w:val="0"/>
          <w:marRight w:val="0"/>
          <w:marTop w:val="0"/>
          <w:marBottom w:val="0"/>
          <w:divBdr>
            <w:top w:val="none" w:sz="0" w:space="0" w:color="auto"/>
            <w:left w:val="none" w:sz="0" w:space="0" w:color="auto"/>
            <w:bottom w:val="none" w:sz="0" w:space="0" w:color="auto"/>
            <w:right w:val="none" w:sz="0" w:space="0" w:color="auto"/>
          </w:divBdr>
        </w:div>
      </w:divsChild>
    </w:div>
    <w:div w:id="47150480">
      <w:bodyDiv w:val="1"/>
      <w:marLeft w:val="0"/>
      <w:marRight w:val="0"/>
      <w:marTop w:val="0"/>
      <w:marBottom w:val="0"/>
      <w:divBdr>
        <w:top w:val="none" w:sz="0" w:space="0" w:color="auto"/>
        <w:left w:val="none" w:sz="0" w:space="0" w:color="auto"/>
        <w:bottom w:val="none" w:sz="0" w:space="0" w:color="auto"/>
        <w:right w:val="none" w:sz="0" w:space="0" w:color="auto"/>
      </w:divBdr>
    </w:div>
    <w:div w:id="72969738">
      <w:bodyDiv w:val="1"/>
      <w:marLeft w:val="0"/>
      <w:marRight w:val="0"/>
      <w:marTop w:val="0"/>
      <w:marBottom w:val="0"/>
      <w:divBdr>
        <w:top w:val="none" w:sz="0" w:space="0" w:color="auto"/>
        <w:left w:val="none" w:sz="0" w:space="0" w:color="auto"/>
        <w:bottom w:val="none" w:sz="0" w:space="0" w:color="auto"/>
        <w:right w:val="none" w:sz="0" w:space="0" w:color="auto"/>
      </w:divBdr>
    </w:div>
    <w:div w:id="125705896">
      <w:bodyDiv w:val="1"/>
      <w:marLeft w:val="0"/>
      <w:marRight w:val="0"/>
      <w:marTop w:val="0"/>
      <w:marBottom w:val="0"/>
      <w:divBdr>
        <w:top w:val="none" w:sz="0" w:space="0" w:color="auto"/>
        <w:left w:val="none" w:sz="0" w:space="0" w:color="auto"/>
        <w:bottom w:val="none" w:sz="0" w:space="0" w:color="auto"/>
        <w:right w:val="none" w:sz="0" w:space="0" w:color="auto"/>
      </w:divBdr>
    </w:div>
    <w:div w:id="149517877">
      <w:bodyDiv w:val="1"/>
      <w:marLeft w:val="0"/>
      <w:marRight w:val="0"/>
      <w:marTop w:val="0"/>
      <w:marBottom w:val="0"/>
      <w:divBdr>
        <w:top w:val="none" w:sz="0" w:space="0" w:color="auto"/>
        <w:left w:val="none" w:sz="0" w:space="0" w:color="auto"/>
        <w:bottom w:val="none" w:sz="0" w:space="0" w:color="auto"/>
        <w:right w:val="none" w:sz="0" w:space="0" w:color="auto"/>
      </w:divBdr>
      <w:divsChild>
        <w:div w:id="208223729">
          <w:marLeft w:val="0"/>
          <w:marRight w:val="0"/>
          <w:marTop w:val="0"/>
          <w:marBottom w:val="0"/>
          <w:divBdr>
            <w:top w:val="none" w:sz="0" w:space="0" w:color="auto"/>
            <w:left w:val="none" w:sz="0" w:space="0" w:color="auto"/>
            <w:bottom w:val="none" w:sz="0" w:space="0" w:color="auto"/>
            <w:right w:val="none" w:sz="0" w:space="0" w:color="auto"/>
          </w:divBdr>
          <w:divsChild>
            <w:div w:id="1850287233">
              <w:marLeft w:val="0"/>
              <w:marRight w:val="0"/>
              <w:marTop w:val="0"/>
              <w:marBottom w:val="0"/>
              <w:divBdr>
                <w:top w:val="none" w:sz="0" w:space="0" w:color="auto"/>
                <w:left w:val="none" w:sz="0" w:space="0" w:color="auto"/>
                <w:bottom w:val="none" w:sz="0" w:space="0" w:color="auto"/>
                <w:right w:val="none" w:sz="0" w:space="0" w:color="auto"/>
              </w:divBdr>
            </w:div>
          </w:divsChild>
        </w:div>
        <w:div w:id="532426955">
          <w:marLeft w:val="0"/>
          <w:marRight w:val="0"/>
          <w:marTop w:val="0"/>
          <w:marBottom w:val="0"/>
          <w:divBdr>
            <w:top w:val="none" w:sz="0" w:space="0" w:color="auto"/>
            <w:left w:val="none" w:sz="0" w:space="0" w:color="auto"/>
            <w:bottom w:val="none" w:sz="0" w:space="0" w:color="auto"/>
            <w:right w:val="none" w:sz="0" w:space="0" w:color="auto"/>
          </w:divBdr>
          <w:divsChild>
            <w:div w:id="665785406">
              <w:marLeft w:val="0"/>
              <w:marRight w:val="0"/>
              <w:marTop w:val="0"/>
              <w:marBottom w:val="0"/>
              <w:divBdr>
                <w:top w:val="none" w:sz="0" w:space="0" w:color="auto"/>
                <w:left w:val="none" w:sz="0" w:space="0" w:color="auto"/>
                <w:bottom w:val="none" w:sz="0" w:space="0" w:color="auto"/>
                <w:right w:val="none" w:sz="0" w:space="0" w:color="auto"/>
              </w:divBdr>
            </w:div>
          </w:divsChild>
        </w:div>
        <w:div w:id="759714621">
          <w:marLeft w:val="0"/>
          <w:marRight w:val="0"/>
          <w:marTop w:val="0"/>
          <w:marBottom w:val="0"/>
          <w:divBdr>
            <w:top w:val="none" w:sz="0" w:space="0" w:color="auto"/>
            <w:left w:val="none" w:sz="0" w:space="0" w:color="auto"/>
            <w:bottom w:val="none" w:sz="0" w:space="0" w:color="auto"/>
            <w:right w:val="none" w:sz="0" w:space="0" w:color="auto"/>
          </w:divBdr>
          <w:divsChild>
            <w:div w:id="2018967963">
              <w:marLeft w:val="0"/>
              <w:marRight w:val="0"/>
              <w:marTop w:val="0"/>
              <w:marBottom w:val="0"/>
              <w:divBdr>
                <w:top w:val="none" w:sz="0" w:space="0" w:color="auto"/>
                <w:left w:val="none" w:sz="0" w:space="0" w:color="auto"/>
                <w:bottom w:val="none" w:sz="0" w:space="0" w:color="auto"/>
                <w:right w:val="none" w:sz="0" w:space="0" w:color="auto"/>
              </w:divBdr>
            </w:div>
          </w:divsChild>
        </w:div>
        <w:div w:id="1377969472">
          <w:marLeft w:val="0"/>
          <w:marRight w:val="0"/>
          <w:marTop w:val="0"/>
          <w:marBottom w:val="0"/>
          <w:divBdr>
            <w:top w:val="none" w:sz="0" w:space="0" w:color="auto"/>
            <w:left w:val="none" w:sz="0" w:space="0" w:color="auto"/>
            <w:bottom w:val="none" w:sz="0" w:space="0" w:color="auto"/>
            <w:right w:val="none" w:sz="0" w:space="0" w:color="auto"/>
          </w:divBdr>
          <w:divsChild>
            <w:div w:id="959918506">
              <w:marLeft w:val="0"/>
              <w:marRight w:val="0"/>
              <w:marTop w:val="0"/>
              <w:marBottom w:val="0"/>
              <w:divBdr>
                <w:top w:val="none" w:sz="0" w:space="0" w:color="auto"/>
                <w:left w:val="none" w:sz="0" w:space="0" w:color="auto"/>
                <w:bottom w:val="none" w:sz="0" w:space="0" w:color="auto"/>
                <w:right w:val="none" w:sz="0" w:space="0" w:color="auto"/>
              </w:divBdr>
            </w:div>
          </w:divsChild>
        </w:div>
        <w:div w:id="1799647521">
          <w:marLeft w:val="0"/>
          <w:marRight w:val="0"/>
          <w:marTop w:val="0"/>
          <w:marBottom w:val="0"/>
          <w:divBdr>
            <w:top w:val="none" w:sz="0" w:space="0" w:color="auto"/>
            <w:left w:val="none" w:sz="0" w:space="0" w:color="auto"/>
            <w:bottom w:val="none" w:sz="0" w:space="0" w:color="auto"/>
            <w:right w:val="none" w:sz="0" w:space="0" w:color="auto"/>
          </w:divBdr>
          <w:divsChild>
            <w:div w:id="7777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3695">
      <w:bodyDiv w:val="1"/>
      <w:marLeft w:val="0"/>
      <w:marRight w:val="0"/>
      <w:marTop w:val="0"/>
      <w:marBottom w:val="0"/>
      <w:divBdr>
        <w:top w:val="none" w:sz="0" w:space="0" w:color="auto"/>
        <w:left w:val="none" w:sz="0" w:space="0" w:color="auto"/>
        <w:bottom w:val="none" w:sz="0" w:space="0" w:color="auto"/>
        <w:right w:val="none" w:sz="0" w:space="0" w:color="auto"/>
      </w:divBdr>
    </w:div>
    <w:div w:id="216824914">
      <w:bodyDiv w:val="1"/>
      <w:marLeft w:val="0"/>
      <w:marRight w:val="0"/>
      <w:marTop w:val="0"/>
      <w:marBottom w:val="0"/>
      <w:divBdr>
        <w:top w:val="none" w:sz="0" w:space="0" w:color="auto"/>
        <w:left w:val="none" w:sz="0" w:space="0" w:color="auto"/>
        <w:bottom w:val="none" w:sz="0" w:space="0" w:color="auto"/>
        <w:right w:val="none" w:sz="0" w:space="0" w:color="auto"/>
      </w:divBdr>
      <w:divsChild>
        <w:div w:id="1260333806">
          <w:marLeft w:val="0"/>
          <w:marRight w:val="0"/>
          <w:marTop w:val="0"/>
          <w:marBottom w:val="0"/>
          <w:divBdr>
            <w:top w:val="none" w:sz="0" w:space="0" w:color="auto"/>
            <w:left w:val="none" w:sz="0" w:space="0" w:color="auto"/>
            <w:bottom w:val="none" w:sz="0" w:space="0" w:color="auto"/>
            <w:right w:val="none" w:sz="0" w:space="0" w:color="auto"/>
          </w:divBdr>
        </w:div>
        <w:div w:id="1898206295">
          <w:marLeft w:val="0"/>
          <w:marRight w:val="0"/>
          <w:marTop w:val="0"/>
          <w:marBottom w:val="0"/>
          <w:divBdr>
            <w:top w:val="none" w:sz="0" w:space="0" w:color="auto"/>
            <w:left w:val="none" w:sz="0" w:space="0" w:color="auto"/>
            <w:bottom w:val="none" w:sz="0" w:space="0" w:color="auto"/>
            <w:right w:val="none" w:sz="0" w:space="0" w:color="auto"/>
          </w:divBdr>
        </w:div>
      </w:divsChild>
    </w:div>
    <w:div w:id="366877281">
      <w:bodyDiv w:val="1"/>
      <w:marLeft w:val="0"/>
      <w:marRight w:val="0"/>
      <w:marTop w:val="0"/>
      <w:marBottom w:val="0"/>
      <w:divBdr>
        <w:top w:val="none" w:sz="0" w:space="0" w:color="auto"/>
        <w:left w:val="none" w:sz="0" w:space="0" w:color="auto"/>
        <w:bottom w:val="none" w:sz="0" w:space="0" w:color="auto"/>
        <w:right w:val="none" w:sz="0" w:space="0" w:color="auto"/>
      </w:divBdr>
    </w:div>
    <w:div w:id="609550933">
      <w:bodyDiv w:val="1"/>
      <w:marLeft w:val="0"/>
      <w:marRight w:val="0"/>
      <w:marTop w:val="0"/>
      <w:marBottom w:val="0"/>
      <w:divBdr>
        <w:top w:val="none" w:sz="0" w:space="0" w:color="auto"/>
        <w:left w:val="none" w:sz="0" w:space="0" w:color="auto"/>
        <w:bottom w:val="none" w:sz="0" w:space="0" w:color="auto"/>
        <w:right w:val="none" w:sz="0" w:space="0" w:color="auto"/>
      </w:divBdr>
    </w:div>
    <w:div w:id="629558515">
      <w:bodyDiv w:val="1"/>
      <w:marLeft w:val="0"/>
      <w:marRight w:val="0"/>
      <w:marTop w:val="0"/>
      <w:marBottom w:val="0"/>
      <w:divBdr>
        <w:top w:val="none" w:sz="0" w:space="0" w:color="auto"/>
        <w:left w:val="none" w:sz="0" w:space="0" w:color="auto"/>
        <w:bottom w:val="none" w:sz="0" w:space="0" w:color="auto"/>
        <w:right w:val="none" w:sz="0" w:space="0" w:color="auto"/>
      </w:divBdr>
    </w:div>
    <w:div w:id="675884129">
      <w:bodyDiv w:val="1"/>
      <w:marLeft w:val="0"/>
      <w:marRight w:val="0"/>
      <w:marTop w:val="0"/>
      <w:marBottom w:val="0"/>
      <w:divBdr>
        <w:top w:val="none" w:sz="0" w:space="0" w:color="auto"/>
        <w:left w:val="none" w:sz="0" w:space="0" w:color="auto"/>
        <w:bottom w:val="none" w:sz="0" w:space="0" w:color="auto"/>
        <w:right w:val="none" w:sz="0" w:space="0" w:color="auto"/>
      </w:divBdr>
    </w:div>
    <w:div w:id="737022927">
      <w:bodyDiv w:val="1"/>
      <w:marLeft w:val="0"/>
      <w:marRight w:val="0"/>
      <w:marTop w:val="0"/>
      <w:marBottom w:val="0"/>
      <w:divBdr>
        <w:top w:val="none" w:sz="0" w:space="0" w:color="auto"/>
        <w:left w:val="none" w:sz="0" w:space="0" w:color="auto"/>
        <w:bottom w:val="none" w:sz="0" w:space="0" w:color="auto"/>
        <w:right w:val="none" w:sz="0" w:space="0" w:color="auto"/>
      </w:divBdr>
      <w:divsChild>
        <w:div w:id="259144396">
          <w:marLeft w:val="150"/>
          <w:marRight w:val="150"/>
          <w:marTop w:val="150"/>
          <w:marBottom w:val="150"/>
          <w:divBdr>
            <w:top w:val="single" w:sz="2" w:space="0" w:color="CC0000"/>
            <w:left w:val="single" w:sz="2" w:space="0" w:color="CC0000"/>
            <w:bottom w:val="single" w:sz="2" w:space="0" w:color="CC0000"/>
            <w:right w:val="single" w:sz="2" w:space="0" w:color="CC0000"/>
          </w:divBdr>
          <w:divsChild>
            <w:div w:id="1605653116">
              <w:marLeft w:val="0"/>
              <w:marRight w:val="0"/>
              <w:marTop w:val="0"/>
              <w:marBottom w:val="0"/>
              <w:divBdr>
                <w:top w:val="none" w:sz="0" w:space="0" w:color="auto"/>
                <w:left w:val="none" w:sz="0" w:space="0" w:color="auto"/>
                <w:bottom w:val="none" w:sz="0" w:space="0" w:color="auto"/>
                <w:right w:val="none" w:sz="0" w:space="0" w:color="auto"/>
              </w:divBdr>
              <w:divsChild>
                <w:div w:id="15979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871111346">
      <w:bodyDiv w:val="1"/>
      <w:marLeft w:val="0"/>
      <w:marRight w:val="0"/>
      <w:marTop w:val="0"/>
      <w:marBottom w:val="0"/>
      <w:divBdr>
        <w:top w:val="none" w:sz="0" w:space="0" w:color="auto"/>
        <w:left w:val="none" w:sz="0" w:space="0" w:color="auto"/>
        <w:bottom w:val="none" w:sz="0" w:space="0" w:color="auto"/>
        <w:right w:val="none" w:sz="0" w:space="0" w:color="auto"/>
      </w:divBdr>
      <w:divsChild>
        <w:div w:id="899287407">
          <w:marLeft w:val="0"/>
          <w:marRight w:val="0"/>
          <w:marTop w:val="0"/>
          <w:marBottom w:val="0"/>
          <w:divBdr>
            <w:top w:val="none" w:sz="0" w:space="0" w:color="auto"/>
            <w:left w:val="none" w:sz="0" w:space="0" w:color="auto"/>
            <w:bottom w:val="none" w:sz="0" w:space="0" w:color="auto"/>
            <w:right w:val="none" w:sz="0" w:space="0" w:color="auto"/>
          </w:divBdr>
        </w:div>
        <w:div w:id="1234971719">
          <w:marLeft w:val="0"/>
          <w:marRight w:val="0"/>
          <w:marTop w:val="0"/>
          <w:marBottom w:val="0"/>
          <w:divBdr>
            <w:top w:val="none" w:sz="0" w:space="0" w:color="auto"/>
            <w:left w:val="none" w:sz="0" w:space="0" w:color="auto"/>
            <w:bottom w:val="none" w:sz="0" w:space="0" w:color="auto"/>
            <w:right w:val="none" w:sz="0" w:space="0" w:color="auto"/>
          </w:divBdr>
        </w:div>
        <w:div w:id="1908875965">
          <w:marLeft w:val="0"/>
          <w:marRight w:val="0"/>
          <w:marTop w:val="0"/>
          <w:marBottom w:val="0"/>
          <w:divBdr>
            <w:top w:val="none" w:sz="0" w:space="0" w:color="auto"/>
            <w:left w:val="none" w:sz="0" w:space="0" w:color="auto"/>
            <w:bottom w:val="none" w:sz="0" w:space="0" w:color="auto"/>
            <w:right w:val="none" w:sz="0" w:space="0" w:color="auto"/>
          </w:divBdr>
        </w:div>
        <w:div w:id="2023895221">
          <w:marLeft w:val="0"/>
          <w:marRight w:val="0"/>
          <w:marTop w:val="0"/>
          <w:marBottom w:val="0"/>
          <w:divBdr>
            <w:top w:val="none" w:sz="0" w:space="0" w:color="auto"/>
            <w:left w:val="none" w:sz="0" w:space="0" w:color="auto"/>
            <w:bottom w:val="none" w:sz="0" w:space="0" w:color="auto"/>
            <w:right w:val="none" w:sz="0" w:space="0" w:color="auto"/>
          </w:divBdr>
          <w:divsChild>
            <w:div w:id="226040541">
              <w:marLeft w:val="0"/>
              <w:marRight w:val="0"/>
              <w:marTop w:val="0"/>
              <w:marBottom w:val="0"/>
              <w:divBdr>
                <w:top w:val="none" w:sz="0" w:space="0" w:color="auto"/>
                <w:left w:val="none" w:sz="0" w:space="0" w:color="auto"/>
                <w:bottom w:val="none" w:sz="0" w:space="0" w:color="auto"/>
                <w:right w:val="none" w:sz="0" w:space="0" w:color="auto"/>
              </w:divBdr>
            </w:div>
            <w:div w:id="305553435">
              <w:marLeft w:val="0"/>
              <w:marRight w:val="0"/>
              <w:marTop w:val="0"/>
              <w:marBottom w:val="0"/>
              <w:divBdr>
                <w:top w:val="none" w:sz="0" w:space="0" w:color="auto"/>
                <w:left w:val="none" w:sz="0" w:space="0" w:color="auto"/>
                <w:bottom w:val="none" w:sz="0" w:space="0" w:color="auto"/>
                <w:right w:val="none" w:sz="0" w:space="0" w:color="auto"/>
              </w:divBdr>
            </w:div>
            <w:div w:id="577253505">
              <w:marLeft w:val="0"/>
              <w:marRight w:val="0"/>
              <w:marTop w:val="0"/>
              <w:marBottom w:val="0"/>
              <w:divBdr>
                <w:top w:val="none" w:sz="0" w:space="0" w:color="auto"/>
                <w:left w:val="none" w:sz="0" w:space="0" w:color="auto"/>
                <w:bottom w:val="none" w:sz="0" w:space="0" w:color="auto"/>
                <w:right w:val="none" w:sz="0" w:space="0" w:color="auto"/>
              </w:divBdr>
            </w:div>
            <w:div w:id="627051346">
              <w:marLeft w:val="0"/>
              <w:marRight w:val="0"/>
              <w:marTop w:val="0"/>
              <w:marBottom w:val="0"/>
              <w:divBdr>
                <w:top w:val="none" w:sz="0" w:space="0" w:color="auto"/>
                <w:left w:val="none" w:sz="0" w:space="0" w:color="auto"/>
                <w:bottom w:val="none" w:sz="0" w:space="0" w:color="auto"/>
                <w:right w:val="none" w:sz="0" w:space="0" w:color="auto"/>
              </w:divBdr>
            </w:div>
            <w:div w:id="729110005">
              <w:marLeft w:val="0"/>
              <w:marRight w:val="0"/>
              <w:marTop w:val="0"/>
              <w:marBottom w:val="0"/>
              <w:divBdr>
                <w:top w:val="none" w:sz="0" w:space="0" w:color="auto"/>
                <w:left w:val="none" w:sz="0" w:space="0" w:color="auto"/>
                <w:bottom w:val="none" w:sz="0" w:space="0" w:color="auto"/>
                <w:right w:val="none" w:sz="0" w:space="0" w:color="auto"/>
              </w:divBdr>
            </w:div>
            <w:div w:id="1040940606">
              <w:marLeft w:val="0"/>
              <w:marRight w:val="0"/>
              <w:marTop w:val="0"/>
              <w:marBottom w:val="0"/>
              <w:divBdr>
                <w:top w:val="none" w:sz="0" w:space="0" w:color="auto"/>
                <w:left w:val="none" w:sz="0" w:space="0" w:color="auto"/>
                <w:bottom w:val="none" w:sz="0" w:space="0" w:color="auto"/>
                <w:right w:val="none" w:sz="0" w:space="0" w:color="auto"/>
              </w:divBdr>
            </w:div>
            <w:div w:id="1357199182">
              <w:marLeft w:val="0"/>
              <w:marRight w:val="0"/>
              <w:marTop w:val="0"/>
              <w:marBottom w:val="0"/>
              <w:divBdr>
                <w:top w:val="none" w:sz="0" w:space="0" w:color="auto"/>
                <w:left w:val="none" w:sz="0" w:space="0" w:color="auto"/>
                <w:bottom w:val="none" w:sz="0" w:space="0" w:color="auto"/>
                <w:right w:val="none" w:sz="0" w:space="0" w:color="auto"/>
              </w:divBdr>
            </w:div>
            <w:div w:id="1362047999">
              <w:marLeft w:val="0"/>
              <w:marRight w:val="0"/>
              <w:marTop w:val="0"/>
              <w:marBottom w:val="0"/>
              <w:divBdr>
                <w:top w:val="none" w:sz="0" w:space="0" w:color="auto"/>
                <w:left w:val="none" w:sz="0" w:space="0" w:color="auto"/>
                <w:bottom w:val="none" w:sz="0" w:space="0" w:color="auto"/>
                <w:right w:val="none" w:sz="0" w:space="0" w:color="auto"/>
              </w:divBdr>
            </w:div>
            <w:div w:id="1546597158">
              <w:marLeft w:val="0"/>
              <w:marRight w:val="0"/>
              <w:marTop w:val="0"/>
              <w:marBottom w:val="0"/>
              <w:divBdr>
                <w:top w:val="none" w:sz="0" w:space="0" w:color="auto"/>
                <w:left w:val="none" w:sz="0" w:space="0" w:color="auto"/>
                <w:bottom w:val="none" w:sz="0" w:space="0" w:color="auto"/>
                <w:right w:val="none" w:sz="0" w:space="0" w:color="auto"/>
              </w:divBdr>
            </w:div>
            <w:div w:id="15690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77849">
      <w:bodyDiv w:val="1"/>
      <w:marLeft w:val="0"/>
      <w:marRight w:val="0"/>
      <w:marTop w:val="0"/>
      <w:marBottom w:val="0"/>
      <w:divBdr>
        <w:top w:val="none" w:sz="0" w:space="0" w:color="auto"/>
        <w:left w:val="none" w:sz="0" w:space="0" w:color="auto"/>
        <w:bottom w:val="none" w:sz="0" w:space="0" w:color="auto"/>
        <w:right w:val="none" w:sz="0" w:space="0" w:color="auto"/>
      </w:divBdr>
    </w:div>
    <w:div w:id="929774116">
      <w:bodyDiv w:val="1"/>
      <w:marLeft w:val="0"/>
      <w:marRight w:val="0"/>
      <w:marTop w:val="0"/>
      <w:marBottom w:val="0"/>
      <w:divBdr>
        <w:top w:val="none" w:sz="0" w:space="0" w:color="auto"/>
        <w:left w:val="none" w:sz="0" w:space="0" w:color="auto"/>
        <w:bottom w:val="none" w:sz="0" w:space="0" w:color="auto"/>
        <w:right w:val="none" w:sz="0" w:space="0" w:color="auto"/>
      </w:divBdr>
    </w:div>
    <w:div w:id="951015197">
      <w:bodyDiv w:val="1"/>
      <w:marLeft w:val="0"/>
      <w:marRight w:val="0"/>
      <w:marTop w:val="0"/>
      <w:marBottom w:val="0"/>
      <w:divBdr>
        <w:top w:val="none" w:sz="0" w:space="0" w:color="auto"/>
        <w:left w:val="none" w:sz="0" w:space="0" w:color="auto"/>
        <w:bottom w:val="none" w:sz="0" w:space="0" w:color="auto"/>
        <w:right w:val="none" w:sz="0" w:space="0" w:color="auto"/>
      </w:divBdr>
    </w:div>
    <w:div w:id="980578288">
      <w:bodyDiv w:val="1"/>
      <w:marLeft w:val="0"/>
      <w:marRight w:val="0"/>
      <w:marTop w:val="0"/>
      <w:marBottom w:val="0"/>
      <w:divBdr>
        <w:top w:val="none" w:sz="0" w:space="0" w:color="auto"/>
        <w:left w:val="none" w:sz="0" w:space="0" w:color="auto"/>
        <w:bottom w:val="none" w:sz="0" w:space="0" w:color="auto"/>
        <w:right w:val="none" w:sz="0" w:space="0" w:color="auto"/>
      </w:divBdr>
      <w:divsChild>
        <w:div w:id="1429501566">
          <w:marLeft w:val="0"/>
          <w:marRight w:val="0"/>
          <w:marTop w:val="0"/>
          <w:marBottom w:val="0"/>
          <w:divBdr>
            <w:top w:val="none" w:sz="0" w:space="0" w:color="auto"/>
            <w:left w:val="none" w:sz="0" w:space="0" w:color="auto"/>
            <w:bottom w:val="none" w:sz="0" w:space="0" w:color="auto"/>
            <w:right w:val="none" w:sz="0" w:space="0" w:color="auto"/>
          </w:divBdr>
        </w:div>
        <w:div w:id="1624263216">
          <w:marLeft w:val="0"/>
          <w:marRight w:val="0"/>
          <w:marTop w:val="0"/>
          <w:marBottom w:val="0"/>
          <w:divBdr>
            <w:top w:val="none" w:sz="0" w:space="0" w:color="auto"/>
            <w:left w:val="none" w:sz="0" w:space="0" w:color="auto"/>
            <w:bottom w:val="none" w:sz="0" w:space="0" w:color="auto"/>
            <w:right w:val="none" w:sz="0" w:space="0" w:color="auto"/>
          </w:divBdr>
        </w:div>
        <w:div w:id="1810048098">
          <w:marLeft w:val="0"/>
          <w:marRight w:val="0"/>
          <w:marTop w:val="0"/>
          <w:marBottom w:val="0"/>
          <w:divBdr>
            <w:top w:val="none" w:sz="0" w:space="0" w:color="auto"/>
            <w:left w:val="none" w:sz="0" w:space="0" w:color="auto"/>
            <w:bottom w:val="none" w:sz="0" w:space="0" w:color="auto"/>
            <w:right w:val="none" w:sz="0" w:space="0" w:color="auto"/>
          </w:divBdr>
        </w:div>
      </w:divsChild>
    </w:div>
    <w:div w:id="1013533541">
      <w:bodyDiv w:val="1"/>
      <w:marLeft w:val="0"/>
      <w:marRight w:val="0"/>
      <w:marTop w:val="0"/>
      <w:marBottom w:val="0"/>
      <w:divBdr>
        <w:top w:val="none" w:sz="0" w:space="0" w:color="auto"/>
        <w:left w:val="none" w:sz="0" w:space="0" w:color="auto"/>
        <w:bottom w:val="none" w:sz="0" w:space="0" w:color="auto"/>
        <w:right w:val="none" w:sz="0" w:space="0" w:color="auto"/>
      </w:divBdr>
    </w:div>
    <w:div w:id="1046880835">
      <w:bodyDiv w:val="1"/>
      <w:marLeft w:val="0"/>
      <w:marRight w:val="0"/>
      <w:marTop w:val="0"/>
      <w:marBottom w:val="0"/>
      <w:divBdr>
        <w:top w:val="none" w:sz="0" w:space="0" w:color="auto"/>
        <w:left w:val="none" w:sz="0" w:space="0" w:color="auto"/>
        <w:bottom w:val="none" w:sz="0" w:space="0" w:color="auto"/>
        <w:right w:val="none" w:sz="0" w:space="0" w:color="auto"/>
      </w:divBdr>
    </w:div>
    <w:div w:id="1089424572">
      <w:bodyDiv w:val="1"/>
      <w:marLeft w:val="0"/>
      <w:marRight w:val="0"/>
      <w:marTop w:val="0"/>
      <w:marBottom w:val="0"/>
      <w:divBdr>
        <w:top w:val="none" w:sz="0" w:space="0" w:color="auto"/>
        <w:left w:val="none" w:sz="0" w:space="0" w:color="auto"/>
        <w:bottom w:val="none" w:sz="0" w:space="0" w:color="auto"/>
        <w:right w:val="none" w:sz="0" w:space="0" w:color="auto"/>
      </w:divBdr>
    </w:div>
    <w:div w:id="1267420709">
      <w:bodyDiv w:val="1"/>
      <w:marLeft w:val="0"/>
      <w:marRight w:val="0"/>
      <w:marTop w:val="0"/>
      <w:marBottom w:val="0"/>
      <w:divBdr>
        <w:top w:val="none" w:sz="0" w:space="0" w:color="auto"/>
        <w:left w:val="none" w:sz="0" w:space="0" w:color="auto"/>
        <w:bottom w:val="none" w:sz="0" w:space="0" w:color="auto"/>
        <w:right w:val="none" w:sz="0" w:space="0" w:color="auto"/>
      </w:divBdr>
      <w:divsChild>
        <w:div w:id="1025135327">
          <w:marLeft w:val="1080"/>
          <w:marRight w:val="0"/>
          <w:marTop w:val="0"/>
          <w:marBottom w:val="0"/>
          <w:divBdr>
            <w:top w:val="none" w:sz="0" w:space="0" w:color="auto"/>
            <w:left w:val="none" w:sz="0" w:space="0" w:color="auto"/>
            <w:bottom w:val="none" w:sz="0" w:space="0" w:color="auto"/>
            <w:right w:val="none" w:sz="0" w:space="0" w:color="auto"/>
          </w:divBdr>
        </w:div>
        <w:div w:id="1772553111">
          <w:marLeft w:val="0"/>
          <w:marRight w:val="0"/>
          <w:marTop w:val="0"/>
          <w:marBottom w:val="0"/>
          <w:divBdr>
            <w:top w:val="none" w:sz="0" w:space="0" w:color="auto"/>
            <w:left w:val="none" w:sz="0" w:space="0" w:color="auto"/>
            <w:bottom w:val="none" w:sz="0" w:space="0" w:color="auto"/>
            <w:right w:val="none" w:sz="0" w:space="0" w:color="auto"/>
          </w:divBdr>
        </w:div>
        <w:div w:id="1963655484">
          <w:marLeft w:val="0"/>
          <w:marRight w:val="0"/>
          <w:marTop w:val="0"/>
          <w:marBottom w:val="0"/>
          <w:divBdr>
            <w:top w:val="none" w:sz="0" w:space="0" w:color="auto"/>
            <w:left w:val="none" w:sz="0" w:space="0" w:color="auto"/>
            <w:bottom w:val="none" w:sz="0" w:space="0" w:color="auto"/>
            <w:right w:val="none" w:sz="0" w:space="0" w:color="auto"/>
          </w:divBdr>
        </w:div>
      </w:divsChild>
    </w:div>
    <w:div w:id="1288123910">
      <w:bodyDiv w:val="1"/>
      <w:marLeft w:val="0"/>
      <w:marRight w:val="0"/>
      <w:marTop w:val="0"/>
      <w:marBottom w:val="0"/>
      <w:divBdr>
        <w:top w:val="none" w:sz="0" w:space="0" w:color="auto"/>
        <w:left w:val="none" w:sz="0" w:space="0" w:color="auto"/>
        <w:bottom w:val="none" w:sz="0" w:space="0" w:color="auto"/>
        <w:right w:val="none" w:sz="0" w:space="0" w:color="auto"/>
      </w:divBdr>
      <w:divsChild>
        <w:div w:id="751320420">
          <w:marLeft w:val="547"/>
          <w:marRight w:val="0"/>
          <w:marTop w:val="0"/>
          <w:marBottom w:val="0"/>
          <w:divBdr>
            <w:top w:val="none" w:sz="0" w:space="0" w:color="auto"/>
            <w:left w:val="none" w:sz="0" w:space="0" w:color="auto"/>
            <w:bottom w:val="none" w:sz="0" w:space="0" w:color="auto"/>
            <w:right w:val="none" w:sz="0" w:space="0" w:color="auto"/>
          </w:divBdr>
        </w:div>
      </w:divsChild>
    </w:div>
    <w:div w:id="1388794991">
      <w:bodyDiv w:val="1"/>
      <w:marLeft w:val="0"/>
      <w:marRight w:val="0"/>
      <w:marTop w:val="0"/>
      <w:marBottom w:val="0"/>
      <w:divBdr>
        <w:top w:val="none" w:sz="0" w:space="0" w:color="auto"/>
        <w:left w:val="none" w:sz="0" w:space="0" w:color="auto"/>
        <w:bottom w:val="none" w:sz="0" w:space="0" w:color="auto"/>
        <w:right w:val="none" w:sz="0" w:space="0" w:color="auto"/>
      </w:divBdr>
      <w:divsChild>
        <w:div w:id="550310506">
          <w:marLeft w:val="0"/>
          <w:marRight w:val="0"/>
          <w:marTop w:val="0"/>
          <w:marBottom w:val="0"/>
          <w:divBdr>
            <w:top w:val="none" w:sz="0" w:space="0" w:color="auto"/>
            <w:left w:val="none" w:sz="0" w:space="0" w:color="auto"/>
            <w:bottom w:val="none" w:sz="0" w:space="0" w:color="auto"/>
            <w:right w:val="none" w:sz="0" w:space="0" w:color="auto"/>
          </w:divBdr>
        </w:div>
        <w:div w:id="1228152726">
          <w:marLeft w:val="0"/>
          <w:marRight w:val="0"/>
          <w:marTop w:val="0"/>
          <w:marBottom w:val="0"/>
          <w:divBdr>
            <w:top w:val="none" w:sz="0" w:space="0" w:color="auto"/>
            <w:left w:val="none" w:sz="0" w:space="0" w:color="auto"/>
            <w:bottom w:val="none" w:sz="0" w:space="0" w:color="auto"/>
            <w:right w:val="none" w:sz="0" w:space="0" w:color="auto"/>
          </w:divBdr>
          <w:divsChild>
            <w:div w:id="12794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42278712">
      <w:bodyDiv w:val="1"/>
      <w:marLeft w:val="0"/>
      <w:marRight w:val="0"/>
      <w:marTop w:val="0"/>
      <w:marBottom w:val="0"/>
      <w:divBdr>
        <w:top w:val="none" w:sz="0" w:space="0" w:color="auto"/>
        <w:left w:val="none" w:sz="0" w:space="0" w:color="auto"/>
        <w:bottom w:val="none" w:sz="0" w:space="0" w:color="auto"/>
        <w:right w:val="none" w:sz="0" w:space="0" w:color="auto"/>
      </w:divBdr>
      <w:divsChild>
        <w:div w:id="948199838">
          <w:marLeft w:val="0"/>
          <w:marRight w:val="0"/>
          <w:marTop w:val="0"/>
          <w:marBottom w:val="0"/>
          <w:divBdr>
            <w:top w:val="none" w:sz="0" w:space="0" w:color="auto"/>
            <w:left w:val="none" w:sz="0" w:space="0" w:color="auto"/>
            <w:bottom w:val="none" w:sz="0" w:space="0" w:color="auto"/>
            <w:right w:val="none" w:sz="0" w:space="0" w:color="auto"/>
          </w:divBdr>
        </w:div>
        <w:div w:id="1467773368">
          <w:marLeft w:val="0"/>
          <w:marRight w:val="0"/>
          <w:marTop w:val="0"/>
          <w:marBottom w:val="0"/>
          <w:divBdr>
            <w:top w:val="none" w:sz="0" w:space="0" w:color="auto"/>
            <w:left w:val="none" w:sz="0" w:space="0" w:color="auto"/>
            <w:bottom w:val="none" w:sz="0" w:space="0" w:color="auto"/>
            <w:right w:val="none" w:sz="0" w:space="0" w:color="auto"/>
          </w:divBdr>
        </w:div>
      </w:divsChild>
    </w:div>
    <w:div w:id="1716927561">
      <w:bodyDiv w:val="1"/>
      <w:marLeft w:val="0"/>
      <w:marRight w:val="0"/>
      <w:marTop w:val="0"/>
      <w:marBottom w:val="0"/>
      <w:divBdr>
        <w:top w:val="none" w:sz="0" w:space="0" w:color="auto"/>
        <w:left w:val="none" w:sz="0" w:space="0" w:color="auto"/>
        <w:bottom w:val="none" w:sz="0" w:space="0" w:color="auto"/>
        <w:right w:val="none" w:sz="0" w:space="0" w:color="auto"/>
      </w:divBdr>
    </w:div>
    <w:div w:id="1717848613">
      <w:bodyDiv w:val="1"/>
      <w:marLeft w:val="0"/>
      <w:marRight w:val="0"/>
      <w:marTop w:val="0"/>
      <w:marBottom w:val="0"/>
      <w:divBdr>
        <w:top w:val="none" w:sz="0" w:space="0" w:color="auto"/>
        <w:left w:val="none" w:sz="0" w:space="0" w:color="auto"/>
        <w:bottom w:val="none" w:sz="0" w:space="0" w:color="auto"/>
        <w:right w:val="none" w:sz="0" w:space="0" w:color="auto"/>
      </w:divBdr>
      <w:divsChild>
        <w:div w:id="126819848">
          <w:marLeft w:val="0"/>
          <w:marRight w:val="0"/>
          <w:marTop w:val="0"/>
          <w:marBottom w:val="0"/>
          <w:divBdr>
            <w:top w:val="none" w:sz="0" w:space="0" w:color="auto"/>
            <w:left w:val="none" w:sz="0" w:space="0" w:color="auto"/>
            <w:bottom w:val="none" w:sz="0" w:space="0" w:color="auto"/>
            <w:right w:val="none" w:sz="0" w:space="0" w:color="auto"/>
          </w:divBdr>
        </w:div>
        <w:div w:id="310410319">
          <w:marLeft w:val="0"/>
          <w:marRight w:val="0"/>
          <w:marTop w:val="0"/>
          <w:marBottom w:val="0"/>
          <w:divBdr>
            <w:top w:val="none" w:sz="0" w:space="0" w:color="auto"/>
            <w:left w:val="none" w:sz="0" w:space="0" w:color="auto"/>
            <w:bottom w:val="none" w:sz="0" w:space="0" w:color="auto"/>
            <w:right w:val="none" w:sz="0" w:space="0" w:color="auto"/>
          </w:divBdr>
        </w:div>
        <w:div w:id="509761062">
          <w:marLeft w:val="0"/>
          <w:marRight w:val="0"/>
          <w:marTop w:val="0"/>
          <w:marBottom w:val="0"/>
          <w:divBdr>
            <w:top w:val="none" w:sz="0" w:space="0" w:color="auto"/>
            <w:left w:val="none" w:sz="0" w:space="0" w:color="auto"/>
            <w:bottom w:val="none" w:sz="0" w:space="0" w:color="auto"/>
            <w:right w:val="none" w:sz="0" w:space="0" w:color="auto"/>
          </w:divBdr>
        </w:div>
        <w:div w:id="1930580420">
          <w:marLeft w:val="0"/>
          <w:marRight w:val="0"/>
          <w:marTop w:val="0"/>
          <w:marBottom w:val="0"/>
          <w:divBdr>
            <w:top w:val="none" w:sz="0" w:space="0" w:color="auto"/>
            <w:left w:val="none" w:sz="0" w:space="0" w:color="auto"/>
            <w:bottom w:val="none" w:sz="0" w:space="0" w:color="auto"/>
            <w:right w:val="none" w:sz="0" w:space="0" w:color="auto"/>
          </w:divBdr>
        </w:div>
        <w:div w:id="1983654822">
          <w:marLeft w:val="0"/>
          <w:marRight w:val="0"/>
          <w:marTop w:val="0"/>
          <w:marBottom w:val="0"/>
          <w:divBdr>
            <w:top w:val="none" w:sz="0" w:space="0" w:color="auto"/>
            <w:left w:val="none" w:sz="0" w:space="0" w:color="auto"/>
            <w:bottom w:val="none" w:sz="0" w:space="0" w:color="auto"/>
            <w:right w:val="none" w:sz="0" w:space="0" w:color="auto"/>
          </w:divBdr>
        </w:div>
      </w:divsChild>
    </w:div>
    <w:div w:id="1800806505">
      <w:bodyDiv w:val="1"/>
      <w:marLeft w:val="0"/>
      <w:marRight w:val="0"/>
      <w:marTop w:val="0"/>
      <w:marBottom w:val="0"/>
      <w:divBdr>
        <w:top w:val="none" w:sz="0" w:space="0" w:color="auto"/>
        <w:left w:val="none" w:sz="0" w:space="0" w:color="auto"/>
        <w:bottom w:val="none" w:sz="0" w:space="0" w:color="auto"/>
        <w:right w:val="none" w:sz="0" w:space="0" w:color="auto"/>
      </w:divBdr>
      <w:divsChild>
        <w:div w:id="14352529">
          <w:marLeft w:val="0"/>
          <w:marRight w:val="0"/>
          <w:marTop w:val="0"/>
          <w:marBottom w:val="0"/>
          <w:divBdr>
            <w:top w:val="none" w:sz="0" w:space="0" w:color="auto"/>
            <w:left w:val="none" w:sz="0" w:space="0" w:color="auto"/>
            <w:bottom w:val="none" w:sz="0" w:space="0" w:color="auto"/>
            <w:right w:val="none" w:sz="0" w:space="0" w:color="auto"/>
          </w:divBdr>
          <w:divsChild>
            <w:div w:id="721829132">
              <w:marLeft w:val="0"/>
              <w:marRight w:val="0"/>
              <w:marTop w:val="0"/>
              <w:marBottom w:val="0"/>
              <w:divBdr>
                <w:top w:val="none" w:sz="0" w:space="0" w:color="auto"/>
                <w:left w:val="none" w:sz="0" w:space="0" w:color="auto"/>
                <w:bottom w:val="none" w:sz="0" w:space="0" w:color="auto"/>
                <w:right w:val="none" w:sz="0" w:space="0" w:color="auto"/>
              </w:divBdr>
            </w:div>
          </w:divsChild>
        </w:div>
        <w:div w:id="58332461">
          <w:marLeft w:val="0"/>
          <w:marRight w:val="0"/>
          <w:marTop w:val="0"/>
          <w:marBottom w:val="0"/>
          <w:divBdr>
            <w:top w:val="none" w:sz="0" w:space="0" w:color="auto"/>
            <w:left w:val="none" w:sz="0" w:space="0" w:color="auto"/>
            <w:bottom w:val="none" w:sz="0" w:space="0" w:color="auto"/>
            <w:right w:val="none" w:sz="0" w:space="0" w:color="auto"/>
          </w:divBdr>
          <w:divsChild>
            <w:div w:id="1535655930">
              <w:marLeft w:val="0"/>
              <w:marRight w:val="0"/>
              <w:marTop w:val="0"/>
              <w:marBottom w:val="0"/>
              <w:divBdr>
                <w:top w:val="none" w:sz="0" w:space="0" w:color="auto"/>
                <w:left w:val="none" w:sz="0" w:space="0" w:color="auto"/>
                <w:bottom w:val="none" w:sz="0" w:space="0" w:color="auto"/>
                <w:right w:val="none" w:sz="0" w:space="0" w:color="auto"/>
              </w:divBdr>
            </w:div>
          </w:divsChild>
        </w:div>
        <w:div w:id="64842623">
          <w:marLeft w:val="0"/>
          <w:marRight w:val="0"/>
          <w:marTop w:val="0"/>
          <w:marBottom w:val="0"/>
          <w:divBdr>
            <w:top w:val="none" w:sz="0" w:space="0" w:color="auto"/>
            <w:left w:val="none" w:sz="0" w:space="0" w:color="auto"/>
            <w:bottom w:val="none" w:sz="0" w:space="0" w:color="auto"/>
            <w:right w:val="none" w:sz="0" w:space="0" w:color="auto"/>
          </w:divBdr>
          <w:divsChild>
            <w:div w:id="1340735915">
              <w:marLeft w:val="0"/>
              <w:marRight w:val="0"/>
              <w:marTop w:val="0"/>
              <w:marBottom w:val="0"/>
              <w:divBdr>
                <w:top w:val="none" w:sz="0" w:space="0" w:color="auto"/>
                <w:left w:val="none" w:sz="0" w:space="0" w:color="auto"/>
                <w:bottom w:val="none" w:sz="0" w:space="0" w:color="auto"/>
                <w:right w:val="none" w:sz="0" w:space="0" w:color="auto"/>
              </w:divBdr>
            </w:div>
          </w:divsChild>
        </w:div>
        <w:div w:id="77408115">
          <w:marLeft w:val="0"/>
          <w:marRight w:val="0"/>
          <w:marTop w:val="0"/>
          <w:marBottom w:val="0"/>
          <w:divBdr>
            <w:top w:val="none" w:sz="0" w:space="0" w:color="auto"/>
            <w:left w:val="none" w:sz="0" w:space="0" w:color="auto"/>
            <w:bottom w:val="none" w:sz="0" w:space="0" w:color="auto"/>
            <w:right w:val="none" w:sz="0" w:space="0" w:color="auto"/>
          </w:divBdr>
          <w:divsChild>
            <w:div w:id="1340887913">
              <w:marLeft w:val="0"/>
              <w:marRight w:val="0"/>
              <w:marTop w:val="0"/>
              <w:marBottom w:val="0"/>
              <w:divBdr>
                <w:top w:val="none" w:sz="0" w:space="0" w:color="auto"/>
                <w:left w:val="none" w:sz="0" w:space="0" w:color="auto"/>
                <w:bottom w:val="none" w:sz="0" w:space="0" w:color="auto"/>
                <w:right w:val="none" w:sz="0" w:space="0" w:color="auto"/>
              </w:divBdr>
            </w:div>
          </w:divsChild>
        </w:div>
        <w:div w:id="107239331">
          <w:marLeft w:val="0"/>
          <w:marRight w:val="0"/>
          <w:marTop w:val="0"/>
          <w:marBottom w:val="0"/>
          <w:divBdr>
            <w:top w:val="none" w:sz="0" w:space="0" w:color="auto"/>
            <w:left w:val="none" w:sz="0" w:space="0" w:color="auto"/>
            <w:bottom w:val="none" w:sz="0" w:space="0" w:color="auto"/>
            <w:right w:val="none" w:sz="0" w:space="0" w:color="auto"/>
          </w:divBdr>
          <w:divsChild>
            <w:div w:id="1580752289">
              <w:marLeft w:val="0"/>
              <w:marRight w:val="0"/>
              <w:marTop w:val="0"/>
              <w:marBottom w:val="0"/>
              <w:divBdr>
                <w:top w:val="none" w:sz="0" w:space="0" w:color="auto"/>
                <w:left w:val="none" w:sz="0" w:space="0" w:color="auto"/>
                <w:bottom w:val="none" w:sz="0" w:space="0" w:color="auto"/>
                <w:right w:val="none" w:sz="0" w:space="0" w:color="auto"/>
              </w:divBdr>
            </w:div>
          </w:divsChild>
        </w:div>
        <w:div w:id="109324700">
          <w:marLeft w:val="0"/>
          <w:marRight w:val="0"/>
          <w:marTop w:val="0"/>
          <w:marBottom w:val="0"/>
          <w:divBdr>
            <w:top w:val="none" w:sz="0" w:space="0" w:color="auto"/>
            <w:left w:val="none" w:sz="0" w:space="0" w:color="auto"/>
            <w:bottom w:val="none" w:sz="0" w:space="0" w:color="auto"/>
            <w:right w:val="none" w:sz="0" w:space="0" w:color="auto"/>
          </w:divBdr>
          <w:divsChild>
            <w:div w:id="449981313">
              <w:marLeft w:val="0"/>
              <w:marRight w:val="0"/>
              <w:marTop w:val="0"/>
              <w:marBottom w:val="0"/>
              <w:divBdr>
                <w:top w:val="none" w:sz="0" w:space="0" w:color="auto"/>
                <w:left w:val="none" w:sz="0" w:space="0" w:color="auto"/>
                <w:bottom w:val="none" w:sz="0" w:space="0" w:color="auto"/>
                <w:right w:val="none" w:sz="0" w:space="0" w:color="auto"/>
              </w:divBdr>
            </w:div>
          </w:divsChild>
        </w:div>
        <w:div w:id="184557348">
          <w:marLeft w:val="0"/>
          <w:marRight w:val="0"/>
          <w:marTop w:val="0"/>
          <w:marBottom w:val="0"/>
          <w:divBdr>
            <w:top w:val="none" w:sz="0" w:space="0" w:color="auto"/>
            <w:left w:val="none" w:sz="0" w:space="0" w:color="auto"/>
            <w:bottom w:val="none" w:sz="0" w:space="0" w:color="auto"/>
            <w:right w:val="none" w:sz="0" w:space="0" w:color="auto"/>
          </w:divBdr>
          <w:divsChild>
            <w:div w:id="108135358">
              <w:marLeft w:val="0"/>
              <w:marRight w:val="0"/>
              <w:marTop w:val="0"/>
              <w:marBottom w:val="0"/>
              <w:divBdr>
                <w:top w:val="none" w:sz="0" w:space="0" w:color="auto"/>
                <w:left w:val="none" w:sz="0" w:space="0" w:color="auto"/>
                <w:bottom w:val="none" w:sz="0" w:space="0" w:color="auto"/>
                <w:right w:val="none" w:sz="0" w:space="0" w:color="auto"/>
              </w:divBdr>
            </w:div>
          </w:divsChild>
        </w:div>
        <w:div w:id="216356866">
          <w:marLeft w:val="0"/>
          <w:marRight w:val="0"/>
          <w:marTop w:val="0"/>
          <w:marBottom w:val="0"/>
          <w:divBdr>
            <w:top w:val="none" w:sz="0" w:space="0" w:color="auto"/>
            <w:left w:val="none" w:sz="0" w:space="0" w:color="auto"/>
            <w:bottom w:val="none" w:sz="0" w:space="0" w:color="auto"/>
            <w:right w:val="none" w:sz="0" w:space="0" w:color="auto"/>
          </w:divBdr>
          <w:divsChild>
            <w:div w:id="796601190">
              <w:marLeft w:val="0"/>
              <w:marRight w:val="0"/>
              <w:marTop w:val="0"/>
              <w:marBottom w:val="0"/>
              <w:divBdr>
                <w:top w:val="none" w:sz="0" w:space="0" w:color="auto"/>
                <w:left w:val="none" w:sz="0" w:space="0" w:color="auto"/>
                <w:bottom w:val="none" w:sz="0" w:space="0" w:color="auto"/>
                <w:right w:val="none" w:sz="0" w:space="0" w:color="auto"/>
              </w:divBdr>
            </w:div>
          </w:divsChild>
        </w:div>
        <w:div w:id="228227573">
          <w:marLeft w:val="0"/>
          <w:marRight w:val="0"/>
          <w:marTop w:val="0"/>
          <w:marBottom w:val="0"/>
          <w:divBdr>
            <w:top w:val="none" w:sz="0" w:space="0" w:color="auto"/>
            <w:left w:val="none" w:sz="0" w:space="0" w:color="auto"/>
            <w:bottom w:val="none" w:sz="0" w:space="0" w:color="auto"/>
            <w:right w:val="none" w:sz="0" w:space="0" w:color="auto"/>
          </w:divBdr>
          <w:divsChild>
            <w:div w:id="1458138253">
              <w:marLeft w:val="0"/>
              <w:marRight w:val="0"/>
              <w:marTop w:val="0"/>
              <w:marBottom w:val="0"/>
              <w:divBdr>
                <w:top w:val="none" w:sz="0" w:space="0" w:color="auto"/>
                <w:left w:val="none" w:sz="0" w:space="0" w:color="auto"/>
                <w:bottom w:val="none" w:sz="0" w:space="0" w:color="auto"/>
                <w:right w:val="none" w:sz="0" w:space="0" w:color="auto"/>
              </w:divBdr>
            </w:div>
          </w:divsChild>
        </w:div>
        <w:div w:id="229971034">
          <w:marLeft w:val="0"/>
          <w:marRight w:val="0"/>
          <w:marTop w:val="0"/>
          <w:marBottom w:val="0"/>
          <w:divBdr>
            <w:top w:val="none" w:sz="0" w:space="0" w:color="auto"/>
            <w:left w:val="none" w:sz="0" w:space="0" w:color="auto"/>
            <w:bottom w:val="none" w:sz="0" w:space="0" w:color="auto"/>
            <w:right w:val="none" w:sz="0" w:space="0" w:color="auto"/>
          </w:divBdr>
          <w:divsChild>
            <w:div w:id="1262376970">
              <w:marLeft w:val="0"/>
              <w:marRight w:val="0"/>
              <w:marTop w:val="0"/>
              <w:marBottom w:val="0"/>
              <w:divBdr>
                <w:top w:val="none" w:sz="0" w:space="0" w:color="auto"/>
                <w:left w:val="none" w:sz="0" w:space="0" w:color="auto"/>
                <w:bottom w:val="none" w:sz="0" w:space="0" w:color="auto"/>
                <w:right w:val="none" w:sz="0" w:space="0" w:color="auto"/>
              </w:divBdr>
            </w:div>
          </w:divsChild>
        </w:div>
        <w:div w:id="343674235">
          <w:marLeft w:val="0"/>
          <w:marRight w:val="0"/>
          <w:marTop w:val="0"/>
          <w:marBottom w:val="0"/>
          <w:divBdr>
            <w:top w:val="none" w:sz="0" w:space="0" w:color="auto"/>
            <w:left w:val="none" w:sz="0" w:space="0" w:color="auto"/>
            <w:bottom w:val="none" w:sz="0" w:space="0" w:color="auto"/>
            <w:right w:val="none" w:sz="0" w:space="0" w:color="auto"/>
          </w:divBdr>
          <w:divsChild>
            <w:div w:id="1371372630">
              <w:marLeft w:val="0"/>
              <w:marRight w:val="0"/>
              <w:marTop w:val="0"/>
              <w:marBottom w:val="0"/>
              <w:divBdr>
                <w:top w:val="none" w:sz="0" w:space="0" w:color="auto"/>
                <w:left w:val="none" w:sz="0" w:space="0" w:color="auto"/>
                <w:bottom w:val="none" w:sz="0" w:space="0" w:color="auto"/>
                <w:right w:val="none" w:sz="0" w:space="0" w:color="auto"/>
              </w:divBdr>
            </w:div>
          </w:divsChild>
        </w:div>
        <w:div w:id="348996081">
          <w:marLeft w:val="0"/>
          <w:marRight w:val="0"/>
          <w:marTop w:val="0"/>
          <w:marBottom w:val="0"/>
          <w:divBdr>
            <w:top w:val="none" w:sz="0" w:space="0" w:color="auto"/>
            <w:left w:val="none" w:sz="0" w:space="0" w:color="auto"/>
            <w:bottom w:val="none" w:sz="0" w:space="0" w:color="auto"/>
            <w:right w:val="none" w:sz="0" w:space="0" w:color="auto"/>
          </w:divBdr>
          <w:divsChild>
            <w:div w:id="1199079206">
              <w:marLeft w:val="0"/>
              <w:marRight w:val="0"/>
              <w:marTop w:val="0"/>
              <w:marBottom w:val="0"/>
              <w:divBdr>
                <w:top w:val="none" w:sz="0" w:space="0" w:color="auto"/>
                <w:left w:val="none" w:sz="0" w:space="0" w:color="auto"/>
                <w:bottom w:val="none" w:sz="0" w:space="0" w:color="auto"/>
                <w:right w:val="none" w:sz="0" w:space="0" w:color="auto"/>
              </w:divBdr>
            </w:div>
          </w:divsChild>
        </w:div>
        <w:div w:id="391854973">
          <w:marLeft w:val="0"/>
          <w:marRight w:val="0"/>
          <w:marTop w:val="0"/>
          <w:marBottom w:val="0"/>
          <w:divBdr>
            <w:top w:val="none" w:sz="0" w:space="0" w:color="auto"/>
            <w:left w:val="none" w:sz="0" w:space="0" w:color="auto"/>
            <w:bottom w:val="none" w:sz="0" w:space="0" w:color="auto"/>
            <w:right w:val="none" w:sz="0" w:space="0" w:color="auto"/>
          </w:divBdr>
          <w:divsChild>
            <w:div w:id="850949342">
              <w:marLeft w:val="0"/>
              <w:marRight w:val="0"/>
              <w:marTop w:val="0"/>
              <w:marBottom w:val="0"/>
              <w:divBdr>
                <w:top w:val="none" w:sz="0" w:space="0" w:color="auto"/>
                <w:left w:val="none" w:sz="0" w:space="0" w:color="auto"/>
                <w:bottom w:val="none" w:sz="0" w:space="0" w:color="auto"/>
                <w:right w:val="none" w:sz="0" w:space="0" w:color="auto"/>
              </w:divBdr>
            </w:div>
          </w:divsChild>
        </w:div>
        <w:div w:id="408306898">
          <w:marLeft w:val="0"/>
          <w:marRight w:val="0"/>
          <w:marTop w:val="0"/>
          <w:marBottom w:val="0"/>
          <w:divBdr>
            <w:top w:val="none" w:sz="0" w:space="0" w:color="auto"/>
            <w:left w:val="none" w:sz="0" w:space="0" w:color="auto"/>
            <w:bottom w:val="none" w:sz="0" w:space="0" w:color="auto"/>
            <w:right w:val="none" w:sz="0" w:space="0" w:color="auto"/>
          </w:divBdr>
          <w:divsChild>
            <w:div w:id="1082339328">
              <w:marLeft w:val="0"/>
              <w:marRight w:val="0"/>
              <w:marTop w:val="0"/>
              <w:marBottom w:val="0"/>
              <w:divBdr>
                <w:top w:val="none" w:sz="0" w:space="0" w:color="auto"/>
                <w:left w:val="none" w:sz="0" w:space="0" w:color="auto"/>
                <w:bottom w:val="none" w:sz="0" w:space="0" w:color="auto"/>
                <w:right w:val="none" w:sz="0" w:space="0" w:color="auto"/>
              </w:divBdr>
            </w:div>
          </w:divsChild>
        </w:div>
        <w:div w:id="470294576">
          <w:marLeft w:val="0"/>
          <w:marRight w:val="0"/>
          <w:marTop w:val="0"/>
          <w:marBottom w:val="0"/>
          <w:divBdr>
            <w:top w:val="none" w:sz="0" w:space="0" w:color="auto"/>
            <w:left w:val="none" w:sz="0" w:space="0" w:color="auto"/>
            <w:bottom w:val="none" w:sz="0" w:space="0" w:color="auto"/>
            <w:right w:val="none" w:sz="0" w:space="0" w:color="auto"/>
          </w:divBdr>
          <w:divsChild>
            <w:div w:id="1496922914">
              <w:marLeft w:val="0"/>
              <w:marRight w:val="0"/>
              <w:marTop w:val="0"/>
              <w:marBottom w:val="0"/>
              <w:divBdr>
                <w:top w:val="none" w:sz="0" w:space="0" w:color="auto"/>
                <w:left w:val="none" w:sz="0" w:space="0" w:color="auto"/>
                <w:bottom w:val="none" w:sz="0" w:space="0" w:color="auto"/>
                <w:right w:val="none" w:sz="0" w:space="0" w:color="auto"/>
              </w:divBdr>
            </w:div>
          </w:divsChild>
        </w:div>
        <w:div w:id="494808129">
          <w:marLeft w:val="0"/>
          <w:marRight w:val="0"/>
          <w:marTop w:val="0"/>
          <w:marBottom w:val="0"/>
          <w:divBdr>
            <w:top w:val="none" w:sz="0" w:space="0" w:color="auto"/>
            <w:left w:val="none" w:sz="0" w:space="0" w:color="auto"/>
            <w:bottom w:val="none" w:sz="0" w:space="0" w:color="auto"/>
            <w:right w:val="none" w:sz="0" w:space="0" w:color="auto"/>
          </w:divBdr>
          <w:divsChild>
            <w:div w:id="1799369672">
              <w:marLeft w:val="0"/>
              <w:marRight w:val="0"/>
              <w:marTop w:val="0"/>
              <w:marBottom w:val="0"/>
              <w:divBdr>
                <w:top w:val="none" w:sz="0" w:space="0" w:color="auto"/>
                <w:left w:val="none" w:sz="0" w:space="0" w:color="auto"/>
                <w:bottom w:val="none" w:sz="0" w:space="0" w:color="auto"/>
                <w:right w:val="none" w:sz="0" w:space="0" w:color="auto"/>
              </w:divBdr>
            </w:div>
          </w:divsChild>
        </w:div>
        <w:div w:id="499319881">
          <w:marLeft w:val="0"/>
          <w:marRight w:val="0"/>
          <w:marTop w:val="0"/>
          <w:marBottom w:val="0"/>
          <w:divBdr>
            <w:top w:val="none" w:sz="0" w:space="0" w:color="auto"/>
            <w:left w:val="none" w:sz="0" w:space="0" w:color="auto"/>
            <w:bottom w:val="none" w:sz="0" w:space="0" w:color="auto"/>
            <w:right w:val="none" w:sz="0" w:space="0" w:color="auto"/>
          </w:divBdr>
          <w:divsChild>
            <w:div w:id="82647529">
              <w:marLeft w:val="0"/>
              <w:marRight w:val="0"/>
              <w:marTop w:val="0"/>
              <w:marBottom w:val="0"/>
              <w:divBdr>
                <w:top w:val="none" w:sz="0" w:space="0" w:color="auto"/>
                <w:left w:val="none" w:sz="0" w:space="0" w:color="auto"/>
                <w:bottom w:val="none" w:sz="0" w:space="0" w:color="auto"/>
                <w:right w:val="none" w:sz="0" w:space="0" w:color="auto"/>
              </w:divBdr>
            </w:div>
          </w:divsChild>
        </w:div>
        <w:div w:id="553464579">
          <w:marLeft w:val="0"/>
          <w:marRight w:val="0"/>
          <w:marTop w:val="0"/>
          <w:marBottom w:val="0"/>
          <w:divBdr>
            <w:top w:val="none" w:sz="0" w:space="0" w:color="auto"/>
            <w:left w:val="none" w:sz="0" w:space="0" w:color="auto"/>
            <w:bottom w:val="none" w:sz="0" w:space="0" w:color="auto"/>
            <w:right w:val="none" w:sz="0" w:space="0" w:color="auto"/>
          </w:divBdr>
          <w:divsChild>
            <w:div w:id="1021979975">
              <w:marLeft w:val="0"/>
              <w:marRight w:val="0"/>
              <w:marTop w:val="0"/>
              <w:marBottom w:val="0"/>
              <w:divBdr>
                <w:top w:val="none" w:sz="0" w:space="0" w:color="auto"/>
                <w:left w:val="none" w:sz="0" w:space="0" w:color="auto"/>
                <w:bottom w:val="none" w:sz="0" w:space="0" w:color="auto"/>
                <w:right w:val="none" w:sz="0" w:space="0" w:color="auto"/>
              </w:divBdr>
            </w:div>
          </w:divsChild>
        </w:div>
        <w:div w:id="635766059">
          <w:marLeft w:val="0"/>
          <w:marRight w:val="0"/>
          <w:marTop w:val="0"/>
          <w:marBottom w:val="0"/>
          <w:divBdr>
            <w:top w:val="none" w:sz="0" w:space="0" w:color="auto"/>
            <w:left w:val="none" w:sz="0" w:space="0" w:color="auto"/>
            <w:bottom w:val="none" w:sz="0" w:space="0" w:color="auto"/>
            <w:right w:val="none" w:sz="0" w:space="0" w:color="auto"/>
          </w:divBdr>
          <w:divsChild>
            <w:div w:id="1894849599">
              <w:marLeft w:val="0"/>
              <w:marRight w:val="0"/>
              <w:marTop w:val="0"/>
              <w:marBottom w:val="0"/>
              <w:divBdr>
                <w:top w:val="none" w:sz="0" w:space="0" w:color="auto"/>
                <w:left w:val="none" w:sz="0" w:space="0" w:color="auto"/>
                <w:bottom w:val="none" w:sz="0" w:space="0" w:color="auto"/>
                <w:right w:val="none" w:sz="0" w:space="0" w:color="auto"/>
              </w:divBdr>
            </w:div>
          </w:divsChild>
        </w:div>
        <w:div w:id="640354176">
          <w:marLeft w:val="0"/>
          <w:marRight w:val="0"/>
          <w:marTop w:val="0"/>
          <w:marBottom w:val="0"/>
          <w:divBdr>
            <w:top w:val="none" w:sz="0" w:space="0" w:color="auto"/>
            <w:left w:val="none" w:sz="0" w:space="0" w:color="auto"/>
            <w:bottom w:val="none" w:sz="0" w:space="0" w:color="auto"/>
            <w:right w:val="none" w:sz="0" w:space="0" w:color="auto"/>
          </w:divBdr>
          <w:divsChild>
            <w:div w:id="367923008">
              <w:marLeft w:val="0"/>
              <w:marRight w:val="0"/>
              <w:marTop w:val="0"/>
              <w:marBottom w:val="0"/>
              <w:divBdr>
                <w:top w:val="none" w:sz="0" w:space="0" w:color="auto"/>
                <w:left w:val="none" w:sz="0" w:space="0" w:color="auto"/>
                <w:bottom w:val="none" w:sz="0" w:space="0" w:color="auto"/>
                <w:right w:val="none" w:sz="0" w:space="0" w:color="auto"/>
              </w:divBdr>
            </w:div>
          </w:divsChild>
        </w:div>
        <w:div w:id="677583813">
          <w:marLeft w:val="0"/>
          <w:marRight w:val="0"/>
          <w:marTop w:val="0"/>
          <w:marBottom w:val="0"/>
          <w:divBdr>
            <w:top w:val="none" w:sz="0" w:space="0" w:color="auto"/>
            <w:left w:val="none" w:sz="0" w:space="0" w:color="auto"/>
            <w:bottom w:val="none" w:sz="0" w:space="0" w:color="auto"/>
            <w:right w:val="none" w:sz="0" w:space="0" w:color="auto"/>
          </w:divBdr>
          <w:divsChild>
            <w:div w:id="1297755811">
              <w:marLeft w:val="0"/>
              <w:marRight w:val="0"/>
              <w:marTop w:val="0"/>
              <w:marBottom w:val="0"/>
              <w:divBdr>
                <w:top w:val="none" w:sz="0" w:space="0" w:color="auto"/>
                <w:left w:val="none" w:sz="0" w:space="0" w:color="auto"/>
                <w:bottom w:val="none" w:sz="0" w:space="0" w:color="auto"/>
                <w:right w:val="none" w:sz="0" w:space="0" w:color="auto"/>
              </w:divBdr>
            </w:div>
          </w:divsChild>
        </w:div>
        <w:div w:id="682706226">
          <w:marLeft w:val="0"/>
          <w:marRight w:val="0"/>
          <w:marTop w:val="0"/>
          <w:marBottom w:val="0"/>
          <w:divBdr>
            <w:top w:val="none" w:sz="0" w:space="0" w:color="auto"/>
            <w:left w:val="none" w:sz="0" w:space="0" w:color="auto"/>
            <w:bottom w:val="none" w:sz="0" w:space="0" w:color="auto"/>
            <w:right w:val="none" w:sz="0" w:space="0" w:color="auto"/>
          </w:divBdr>
          <w:divsChild>
            <w:div w:id="229383878">
              <w:marLeft w:val="0"/>
              <w:marRight w:val="0"/>
              <w:marTop w:val="0"/>
              <w:marBottom w:val="0"/>
              <w:divBdr>
                <w:top w:val="none" w:sz="0" w:space="0" w:color="auto"/>
                <w:left w:val="none" w:sz="0" w:space="0" w:color="auto"/>
                <w:bottom w:val="none" w:sz="0" w:space="0" w:color="auto"/>
                <w:right w:val="none" w:sz="0" w:space="0" w:color="auto"/>
              </w:divBdr>
            </w:div>
          </w:divsChild>
        </w:div>
        <w:div w:id="695935289">
          <w:marLeft w:val="0"/>
          <w:marRight w:val="0"/>
          <w:marTop w:val="0"/>
          <w:marBottom w:val="0"/>
          <w:divBdr>
            <w:top w:val="none" w:sz="0" w:space="0" w:color="auto"/>
            <w:left w:val="none" w:sz="0" w:space="0" w:color="auto"/>
            <w:bottom w:val="none" w:sz="0" w:space="0" w:color="auto"/>
            <w:right w:val="none" w:sz="0" w:space="0" w:color="auto"/>
          </w:divBdr>
          <w:divsChild>
            <w:div w:id="749889814">
              <w:marLeft w:val="0"/>
              <w:marRight w:val="0"/>
              <w:marTop w:val="0"/>
              <w:marBottom w:val="0"/>
              <w:divBdr>
                <w:top w:val="none" w:sz="0" w:space="0" w:color="auto"/>
                <w:left w:val="none" w:sz="0" w:space="0" w:color="auto"/>
                <w:bottom w:val="none" w:sz="0" w:space="0" w:color="auto"/>
                <w:right w:val="none" w:sz="0" w:space="0" w:color="auto"/>
              </w:divBdr>
            </w:div>
          </w:divsChild>
        </w:div>
        <w:div w:id="741875540">
          <w:marLeft w:val="0"/>
          <w:marRight w:val="0"/>
          <w:marTop w:val="0"/>
          <w:marBottom w:val="0"/>
          <w:divBdr>
            <w:top w:val="none" w:sz="0" w:space="0" w:color="auto"/>
            <w:left w:val="none" w:sz="0" w:space="0" w:color="auto"/>
            <w:bottom w:val="none" w:sz="0" w:space="0" w:color="auto"/>
            <w:right w:val="none" w:sz="0" w:space="0" w:color="auto"/>
          </w:divBdr>
          <w:divsChild>
            <w:div w:id="599721929">
              <w:marLeft w:val="0"/>
              <w:marRight w:val="0"/>
              <w:marTop w:val="0"/>
              <w:marBottom w:val="0"/>
              <w:divBdr>
                <w:top w:val="none" w:sz="0" w:space="0" w:color="auto"/>
                <w:left w:val="none" w:sz="0" w:space="0" w:color="auto"/>
                <w:bottom w:val="none" w:sz="0" w:space="0" w:color="auto"/>
                <w:right w:val="none" w:sz="0" w:space="0" w:color="auto"/>
              </w:divBdr>
            </w:div>
          </w:divsChild>
        </w:div>
        <w:div w:id="801728614">
          <w:marLeft w:val="0"/>
          <w:marRight w:val="0"/>
          <w:marTop w:val="0"/>
          <w:marBottom w:val="0"/>
          <w:divBdr>
            <w:top w:val="none" w:sz="0" w:space="0" w:color="auto"/>
            <w:left w:val="none" w:sz="0" w:space="0" w:color="auto"/>
            <w:bottom w:val="none" w:sz="0" w:space="0" w:color="auto"/>
            <w:right w:val="none" w:sz="0" w:space="0" w:color="auto"/>
          </w:divBdr>
          <w:divsChild>
            <w:div w:id="110706417">
              <w:marLeft w:val="0"/>
              <w:marRight w:val="0"/>
              <w:marTop w:val="0"/>
              <w:marBottom w:val="0"/>
              <w:divBdr>
                <w:top w:val="none" w:sz="0" w:space="0" w:color="auto"/>
                <w:left w:val="none" w:sz="0" w:space="0" w:color="auto"/>
                <w:bottom w:val="none" w:sz="0" w:space="0" w:color="auto"/>
                <w:right w:val="none" w:sz="0" w:space="0" w:color="auto"/>
              </w:divBdr>
            </w:div>
          </w:divsChild>
        </w:div>
        <w:div w:id="803281307">
          <w:marLeft w:val="0"/>
          <w:marRight w:val="0"/>
          <w:marTop w:val="0"/>
          <w:marBottom w:val="0"/>
          <w:divBdr>
            <w:top w:val="none" w:sz="0" w:space="0" w:color="auto"/>
            <w:left w:val="none" w:sz="0" w:space="0" w:color="auto"/>
            <w:bottom w:val="none" w:sz="0" w:space="0" w:color="auto"/>
            <w:right w:val="none" w:sz="0" w:space="0" w:color="auto"/>
          </w:divBdr>
          <w:divsChild>
            <w:div w:id="1341153788">
              <w:marLeft w:val="0"/>
              <w:marRight w:val="0"/>
              <w:marTop w:val="0"/>
              <w:marBottom w:val="0"/>
              <w:divBdr>
                <w:top w:val="none" w:sz="0" w:space="0" w:color="auto"/>
                <w:left w:val="none" w:sz="0" w:space="0" w:color="auto"/>
                <w:bottom w:val="none" w:sz="0" w:space="0" w:color="auto"/>
                <w:right w:val="none" w:sz="0" w:space="0" w:color="auto"/>
              </w:divBdr>
            </w:div>
          </w:divsChild>
        </w:div>
        <w:div w:id="814375427">
          <w:marLeft w:val="0"/>
          <w:marRight w:val="0"/>
          <w:marTop w:val="0"/>
          <w:marBottom w:val="0"/>
          <w:divBdr>
            <w:top w:val="none" w:sz="0" w:space="0" w:color="auto"/>
            <w:left w:val="none" w:sz="0" w:space="0" w:color="auto"/>
            <w:bottom w:val="none" w:sz="0" w:space="0" w:color="auto"/>
            <w:right w:val="none" w:sz="0" w:space="0" w:color="auto"/>
          </w:divBdr>
          <w:divsChild>
            <w:div w:id="1352218499">
              <w:marLeft w:val="0"/>
              <w:marRight w:val="0"/>
              <w:marTop w:val="0"/>
              <w:marBottom w:val="0"/>
              <w:divBdr>
                <w:top w:val="none" w:sz="0" w:space="0" w:color="auto"/>
                <w:left w:val="none" w:sz="0" w:space="0" w:color="auto"/>
                <w:bottom w:val="none" w:sz="0" w:space="0" w:color="auto"/>
                <w:right w:val="none" w:sz="0" w:space="0" w:color="auto"/>
              </w:divBdr>
            </w:div>
          </w:divsChild>
        </w:div>
        <w:div w:id="830951885">
          <w:marLeft w:val="0"/>
          <w:marRight w:val="0"/>
          <w:marTop w:val="0"/>
          <w:marBottom w:val="0"/>
          <w:divBdr>
            <w:top w:val="none" w:sz="0" w:space="0" w:color="auto"/>
            <w:left w:val="none" w:sz="0" w:space="0" w:color="auto"/>
            <w:bottom w:val="none" w:sz="0" w:space="0" w:color="auto"/>
            <w:right w:val="none" w:sz="0" w:space="0" w:color="auto"/>
          </w:divBdr>
          <w:divsChild>
            <w:div w:id="1936284923">
              <w:marLeft w:val="0"/>
              <w:marRight w:val="0"/>
              <w:marTop w:val="0"/>
              <w:marBottom w:val="0"/>
              <w:divBdr>
                <w:top w:val="none" w:sz="0" w:space="0" w:color="auto"/>
                <w:left w:val="none" w:sz="0" w:space="0" w:color="auto"/>
                <w:bottom w:val="none" w:sz="0" w:space="0" w:color="auto"/>
                <w:right w:val="none" w:sz="0" w:space="0" w:color="auto"/>
              </w:divBdr>
            </w:div>
          </w:divsChild>
        </w:div>
        <w:div w:id="948509661">
          <w:marLeft w:val="0"/>
          <w:marRight w:val="0"/>
          <w:marTop w:val="0"/>
          <w:marBottom w:val="0"/>
          <w:divBdr>
            <w:top w:val="none" w:sz="0" w:space="0" w:color="auto"/>
            <w:left w:val="none" w:sz="0" w:space="0" w:color="auto"/>
            <w:bottom w:val="none" w:sz="0" w:space="0" w:color="auto"/>
            <w:right w:val="none" w:sz="0" w:space="0" w:color="auto"/>
          </w:divBdr>
          <w:divsChild>
            <w:div w:id="44303175">
              <w:marLeft w:val="0"/>
              <w:marRight w:val="0"/>
              <w:marTop w:val="0"/>
              <w:marBottom w:val="0"/>
              <w:divBdr>
                <w:top w:val="none" w:sz="0" w:space="0" w:color="auto"/>
                <w:left w:val="none" w:sz="0" w:space="0" w:color="auto"/>
                <w:bottom w:val="none" w:sz="0" w:space="0" w:color="auto"/>
                <w:right w:val="none" w:sz="0" w:space="0" w:color="auto"/>
              </w:divBdr>
            </w:div>
          </w:divsChild>
        </w:div>
        <w:div w:id="1008408037">
          <w:marLeft w:val="0"/>
          <w:marRight w:val="0"/>
          <w:marTop w:val="0"/>
          <w:marBottom w:val="0"/>
          <w:divBdr>
            <w:top w:val="none" w:sz="0" w:space="0" w:color="auto"/>
            <w:left w:val="none" w:sz="0" w:space="0" w:color="auto"/>
            <w:bottom w:val="none" w:sz="0" w:space="0" w:color="auto"/>
            <w:right w:val="none" w:sz="0" w:space="0" w:color="auto"/>
          </w:divBdr>
          <w:divsChild>
            <w:div w:id="14575128">
              <w:marLeft w:val="0"/>
              <w:marRight w:val="0"/>
              <w:marTop w:val="0"/>
              <w:marBottom w:val="0"/>
              <w:divBdr>
                <w:top w:val="none" w:sz="0" w:space="0" w:color="auto"/>
                <w:left w:val="none" w:sz="0" w:space="0" w:color="auto"/>
                <w:bottom w:val="none" w:sz="0" w:space="0" w:color="auto"/>
                <w:right w:val="none" w:sz="0" w:space="0" w:color="auto"/>
              </w:divBdr>
            </w:div>
          </w:divsChild>
        </w:div>
        <w:div w:id="1053701630">
          <w:marLeft w:val="0"/>
          <w:marRight w:val="0"/>
          <w:marTop w:val="0"/>
          <w:marBottom w:val="0"/>
          <w:divBdr>
            <w:top w:val="none" w:sz="0" w:space="0" w:color="auto"/>
            <w:left w:val="none" w:sz="0" w:space="0" w:color="auto"/>
            <w:bottom w:val="none" w:sz="0" w:space="0" w:color="auto"/>
            <w:right w:val="none" w:sz="0" w:space="0" w:color="auto"/>
          </w:divBdr>
          <w:divsChild>
            <w:div w:id="444036653">
              <w:marLeft w:val="0"/>
              <w:marRight w:val="0"/>
              <w:marTop w:val="0"/>
              <w:marBottom w:val="0"/>
              <w:divBdr>
                <w:top w:val="none" w:sz="0" w:space="0" w:color="auto"/>
                <w:left w:val="none" w:sz="0" w:space="0" w:color="auto"/>
                <w:bottom w:val="none" w:sz="0" w:space="0" w:color="auto"/>
                <w:right w:val="none" w:sz="0" w:space="0" w:color="auto"/>
              </w:divBdr>
            </w:div>
          </w:divsChild>
        </w:div>
        <w:div w:id="1083068042">
          <w:marLeft w:val="0"/>
          <w:marRight w:val="0"/>
          <w:marTop w:val="0"/>
          <w:marBottom w:val="0"/>
          <w:divBdr>
            <w:top w:val="none" w:sz="0" w:space="0" w:color="auto"/>
            <w:left w:val="none" w:sz="0" w:space="0" w:color="auto"/>
            <w:bottom w:val="none" w:sz="0" w:space="0" w:color="auto"/>
            <w:right w:val="none" w:sz="0" w:space="0" w:color="auto"/>
          </w:divBdr>
          <w:divsChild>
            <w:div w:id="157576702">
              <w:marLeft w:val="0"/>
              <w:marRight w:val="0"/>
              <w:marTop w:val="0"/>
              <w:marBottom w:val="0"/>
              <w:divBdr>
                <w:top w:val="none" w:sz="0" w:space="0" w:color="auto"/>
                <w:left w:val="none" w:sz="0" w:space="0" w:color="auto"/>
                <w:bottom w:val="none" w:sz="0" w:space="0" w:color="auto"/>
                <w:right w:val="none" w:sz="0" w:space="0" w:color="auto"/>
              </w:divBdr>
            </w:div>
          </w:divsChild>
        </w:div>
        <w:div w:id="1097557874">
          <w:marLeft w:val="0"/>
          <w:marRight w:val="0"/>
          <w:marTop w:val="0"/>
          <w:marBottom w:val="0"/>
          <w:divBdr>
            <w:top w:val="none" w:sz="0" w:space="0" w:color="auto"/>
            <w:left w:val="none" w:sz="0" w:space="0" w:color="auto"/>
            <w:bottom w:val="none" w:sz="0" w:space="0" w:color="auto"/>
            <w:right w:val="none" w:sz="0" w:space="0" w:color="auto"/>
          </w:divBdr>
          <w:divsChild>
            <w:div w:id="700789111">
              <w:marLeft w:val="0"/>
              <w:marRight w:val="0"/>
              <w:marTop w:val="0"/>
              <w:marBottom w:val="0"/>
              <w:divBdr>
                <w:top w:val="none" w:sz="0" w:space="0" w:color="auto"/>
                <w:left w:val="none" w:sz="0" w:space="0" w:color="auto"/>
                <w:bottom w:val="none" w:sz="0" w:space="0" w:color="auto"/>
                <w:right w:val="none" w:sz="0" w:space="0" w:color="auto"/>
              </w:divBdr>
            </w:div>
          </w:divsChild>
        </w:div>
        <w:div w:id="1116563296">
          <w:marLeft w:val="0"/>
          <w:marRight w:val="0"/>
          <w:marTop w:val="0"/>
          <w:marBottom w:val="0"/>
          <w:divBdr>
            <w:top w:val="none" w:sz="0" w:space="0" w:color="auto"/>
            <w:left w:val="none" w:sz="0" w:space="0" w:color="auto"/>
            <w:bottom w:val="none" w:sz="0" w:space="0" w:color="auto"/>
            <w:right w:val="none" w:sz="0" w:space="0" w:color="auto"/>
          </w:divBdr>
          <w:divsChild>
            <w:div w:id="145977016">
              <w:marLeft w:val="0"/>
              <w:marRight w:val="0"/>
              <w:marTop w:val="0"/>
              <w:marBottom w:val="0"/>
              <w:divBdr>
                <w:top w:val="none" w:sz="0" w:space="0" w:color="auto"/>
                <w:left w:val="none" w:sz="0" w:space="0" w:color="auto"/>
                <w:bottom w:val="none" w:sz="0" w:space="0" w:color="auto"/>
                <w:right w:val="none" w:sz="0" w:space="0" w:color="auto"/>
              </w:divBdr>
            </w:div>
          </w:divsChild>
        </w:div>
        <w:div w:id="1132016837">
          <w:marLeft w:val="0"/>
          <w:marRight w:val="0"/>
          <w:marTop w:val="0"/>
          <w:marBottom w:val="0"/>
          <w:divBdr>
            <w:top w:val="none" w:sz="0" w:space="0" w:color="auto"/>
            <w:left w:val="none" w:sz="0" w:space="0" w:color="auto"/>
            <w:bottom w:val="none" w:sz="0" w:space="0" w:color="auto"/>
            <w:right w:val="none" w:sz="0" w:space="0" w:color="auto"/>
          </w:divBdr>
          <w:divsChild>
            <w:div w:id="744258046">
              <w:marLeft w:val="0"/>
              <w:marRight w:val="0"/>
              <w:marTop w:val="0"/>
              <w:marBottom w:val="0"/>
              <w:divBdr>
                <w:top w:val="none" w:sz="0" w:space="0" w:color="auto"/>
                <w:left w:val="none" w:sz="0" w:space="0" w:color="auto"/>
                <w:bottom w:val="none" w:sz="0" w:space="0" w:color="auto"/>
                <w:right w:val="none" w:sz="0" w:space="0" w:color="auto"/>
              </w:divBdr>
            </w:div>
          </w:divsChild>
        </w:div>
        <w:div w:id="1150244107">
          <w:marLeft w:val="0"/>
          <w:marRight w:val="0"/>
          <w:marTop w:val="0"/>
          <w:marBottom w:val="0"/>
          <w:divBdr>
            <w:top w:val="none" w:sz="0" w:space="0" w:color="auto"/>
            <w:left w:val="none" w:sz="0" w:space="0" w:color="auto"/>
            <w:bottom w:val="none" w:sz="0" w:space="0" w:color="auto"/>
            <w:right w:val="none" w:sz="0" w:space="0" w:color="auto"/>
          </w:divBdr>
          <w:divsChild>
            <w:div w:id="632835426">
              <w:marLeft w:val="0"/>
              <w:marRight w:val="0"/>
              <w:marTop w:val="0"/>
              <w:marBottom w:val="0"/>
              <w:divBdr>
                <w:top w:val="none" w:sz="0" w:space="0" w:color="auto"/>
                <w:left w:val="none" w:sz="0" w:space="0" w:color="auto"/>
                <w:bottom w:val="none" w:sz="0" w:space="0" w:color="auto"/>
                <w:right w:val="none" w:sz="0" w:space="0" w:color="auto"/>
              </w:divBdr>
            </w:div>
          </w:divsChild>
        </w:div>
        <w:div w:id="1178690559">
          <w:marLeft w:val="0"/>
          <w:marRight w:val="0"/>
          <w:marTop w:val="0"/>
          <w:marBottom w:val="0"/>
          <w:divBdr>
            <w:top w:val="none" w:sz="0" w:space="0" w:color="auto"/>
            <w:left w:val="none" w:sz="0" w:space="0" w:color="auto"/>
            <w:bottom w:val="none" w:sz="0" w:space="0" w:color="auto"/>
            <w:right w:val="none" w:sz="0" w:space="0" w:color="auto"/>
          </w:divBdr>
          <w:divsChild>
            <w:div w:id="2017416453">
              <w:marLeft w:val="0"/>
              <w:marRight w:val="0"/>
              <w:marTop w:val="0"/>
              <w:marBottom w:val="0"/>
              <w:divBdr>
                <w:top w:val="none" w:sz="0" w:space="0" w:color="auto"/>
                <w:left w:val="none" w:sz="0" w:space="0" w:color="auto"/>
                <w:bottom w:val="none" w:sz="0" w:space="0" w:color="auto"/>
                <w:right w:val="none" w:sz="0" w:space="0" w:color="auto"/>
              </w:divBdr>
            </w:div>
          </w:divsChild>
        </w:div>
        <w:div w:id="1207986294">
          <w:marLeft w:val="0"/>
          <w:marRight w:val="0"/>
          <w:marTop w:val="0"/>
          <w:marBottom w:val="0"/>
          <w:divBdr>
            <w:top w:val="none" w:sz="0" w:space="0" w:color="auto"/>
            <w:left w:val="none" w:sz="0" w:space="0" w:color="auto"/>
            <w:bottom w:val="none" w:sz="0" w:space="0" w:color="auto"/>
            <w:right w:val="none" w:sz="0" w:space="0" w:color="auto"/>
          </w:divBdr>
          <w:divsChild>
            <w:div w:id="1049955371">
              <w:marLeft w:val="0"/>
              <w:marRight w:val="0"/>
              <w:marTop w:val="0"/>
              <w:marBottom w:val="0"/>
              <w:divBdr>
                <w:top w:val="none" w:sz="0" w:space="0" w:color="auto"/>
                <w:left w:val="none" w:sz="0" w:space="0" w:color="auto"/>
                <w:bottom w:val="none" w:sz="0" w:space="0" w:color="auto"/>
                <w:right w:val="none" w:sz="0" w:space="0" w:color="auto"/>
              </w:divBdr>
            </w:div>
          </w:divsChild>
        </w:div>
        <w:div w:id="1227763231">
          <w:marLeft w:val="0"/>
          <w:marRight w:val="0"/>
          <w:marTop w:val="0"/>
          <w:marBottom w:val="0"/>
          <w:divBdr>
            <w:top w:val="none" w:sz="0" w:space="0" w:color="auto"/>
            <w:left w:val="none" w:sz="0" w:space="0" w:color="auto"/>
            <w:bottom w:val="none" w:sz="0" w:space="0" w:color="auto"/>
            <w:right w:val="none" w:sz="0" w:space="0" w:color="auto"/>
          </w:divBdr>
          <w:divsChild>
            <w:div w:id="505904265">
              <w:marLeft w:val="0"/>
              <w:marRight w:val="0"/>
              <w:marTop w:val="0"/>
              <w:marBottom w:val="0"/>
              <w:divBdr>
                <w:top w:val="none" w:sz="0" w:space="0" w:color="auto"/>
                <w:left w:val="none" w:sz="0" w:space="0" w:color="auto"/>
                <w:bottom w:val="none" w:sz="0" w:space="0" w:color="auto"/>
                <w:right w:val="none" w:sz="0" w:space="0" w:color="auto"/>
              </w:divBdr>
            </w:div>
          </w:divsChild>
        </w:div>
        <w:div w:id="1348404331">
          <w:marLeft w:val="0"/>
          <w:marRight w:val="0"/>
          <w:marTop w:val="0"/>
          <w:marBottom w:val="0"/>
          <w:divBdr>
            <w:top w:val="none" w:sz="0" w:space="0" w:color="auto"/>
            <w:left w:val="none" w:sz="0" w:space="0" w:color="auto"/>
            <w:bottom w:val="none" w:sz="0" w:space="0" w:color="auto"/>
            <w:right w:val="none" w:sz="0" w:space="0" w:color="auto"/>
          </w:divBdr>
          <w:divsChild>
            <w:div w:id="653491744">
              <w:marLeft w:val="0"/>
              <w:marRight w:val="0"/>
              <w:marTop w:val="0"/>
              <w:marBottom w:val="0"/>
              <w:divBdr>
                <w:top w:val="none" w:sz="0" w:space="0" w:color="auto"/>
                <w:left w:val="none" w:sz="0" w:space="0" w:color="auto"/>
                <w:bottom w:val="none" w:sz="0" w:space="0" w:color="auto"/>
                <w:right w:val="none" w:sz="0" w:space="0" w:color="auto"/>
              </w:divBdr>
            </w:div>
          </w:divsChild>
        </w:div>
        <w:div w:id="1414661836">
          <w:marLeft w:val="0"/>
          <w:marRight w:val="0"/>
          <w:marTop w:val="0"/>
          <w:marBottom w:val="0"/>
          <w:divBdr>
            <w:top w:val="none" w:sz="0" w:space="0" w:color="auto"/>
            <w:left w:val="none" w:sz="0" w:space="0" w:color="auto"/>
            <w:bottom w:val="none" w:sz="0" w:space="0" w:color="auto"/>
            <w:right w:val="none" w:sz="0" w:space="0" w:color="auto"/>
          </w:divBdr>
          <w:divsChild>
            <w:div w:id="607858230">
              <w:marLeft w:val="0"/>
              <w:marRight w:val="0"/>
              <w:marTop w:val="0"/>
              <w:marBottom w:val="0"/>
              <w:divBdr>
                <w:top w:val="none" w:sz="0" w:space="0" w:color="auto"/>
                <w:left w:val="none" w:sz="0" w:space="0" w:color="auto"/>
                <w:bottom w:val="none" w:sz="0" w:space="0" w:color="auto"/>
                <w:right w:val="none" w:sz="0" w:space="0" w:color="auto"/>
              </w:divBdr>
            </w:div>
          </w:divsChild>
        </w:div>
        <w:div w:id="1448500043">
          <w:marLeft w:val="0"/>
          <w:marRight w:val="0"/>
          <w:marTop w:val="0"/>
          <w:marBottom w:val="0"/>
          <w:divBdr>
            <w:top w:val="none" w:sz="0" w:space="0" w:color="auto"/>
            <w:left w:val="none" w:sz="0" w:space="0" w:color="auto"/>
            <w:bottom w:val="none" w:sz="0" w:space="0" w:color="auto"/>
            <w:right w:val="none" w:sz="0" w:space="0" w:color="auto"/>
          </w:divBdr>
          <w:divsChild>
            <w:div w:id="26568170">
              <w:marLeft w:val="0"/>
              <w:marRight w:val="0"/>
              <w:marTop w:val="0"/>
              <w:marBottom w:val="0"/>
              <w:divBdr>
                <w:top w:val="none" w:sz="0" w:space="0" w:color="auto"/>
                <w:left w:val="none" w:sz="0" w:space="0" w:color="auto"/>
                <w:bottom w:val="none" w:sz="0" w:space="0" w:color="auto"/>
                <w:right w:val="none" w:sz="0" w:space="0" w:color="auto"/>
              </w:divBdr>
            </w:div>
          </w:divsChild>
        </w:div>
        <w:div w:id="1469321652">
          <w:marLeft w:val="0"/>
          <w:marRight w:val="0"/>
          <w:marTop w:val="0"/>
          <w:marBottom w:val="0"/>
          <w:divBdr>
            <w:top w:val="none" w:sz="0" w:space="0" w:color="auto"/>
            <w:left w:val="none" w:sz="0" w:space="0" w:color="auto"/>
            <w:bottom w:val="none" w:sz="0" w:space="0" w:color="auto"/>
            <w:right w:val="none" w:sz="0" w:space="0" w:color="auto"/>
          </w:divBdr>
          <w:divsChild>
            <w:div w:id="419261093">
              <w:marLeft w:val="0"/>
              <w:marRight w:val="0"/>
              <w:marTop w:val="0"/>
              <w:marBottom w:val="0"/>
              <w:divBdr>
                <w:top w:val="none" w:sz="0" w:space="0" w:color="auto"/>
                <w:left w:val="none" w:sz="0" w:space="0" w:color="auto"/>
                <w:bottom w:val="none" w:sz="0" w:space="0" w:color="auto"/>
                <w:right w:val="none" w:sz="0" w:space="0" w:color="auto"/>
              </w:divBdr>
            </w:div>
          </w:divsChild>
        </w:div>
        <w:div w:id="1486898133">
          <w:marLeft w:val="0"/>
          <w:marRight w:val="0"/>
          <w:marTop w:val="0"/>
          <w:marBottom w:val="0"/>
          <w:divBdr>
            <w:top w:val="none" w:sz="0" w:space="0" w:color="auto"/>
            <w:left w:val="none" w:sz="0" w:space="0" w:color="auto"/>
            <w:bottom w:val="none" w:sz="0" w:space="0" w:color="auto"/>
            <w:right w:val="none" w:sz="0" w:space="0" w:color="auto"/>
          </w:divBdr>
          <w:divsChild>
            <w:div w:id="1032926270">
              <w:marLeft w:val="0"/>
              <w:marRight w:val="0"/>
              <w:marTop w:val="0"/>
              <w:marBottom w:val="0"/>
              <w:divBdr>
                <w:top w:val="none" w:sz="0" w:space="0" w:color="auto"/>
                <w:left w:val="none" w:sz="0" w:space="0" w:color="auto"/>
                <w:bottom w:val="none" w:sz="0" w:space="0" w:color="auto"/>
                <w:right w:val="none" w:sz="0" w:space="0" w:color="auto"/>
              </w:divBdr>
            </w:div>
          </w:divsChild>
        </w:div>
        <w:div w:id="1491411247">
          <w:marLeft w:val="0"/>
          <w:marRight w:val="0"/>
          <w:marTop w:val="0"/>
          <w:marBottom w:val="0"/>
          <w:divBdr>
            <w:top w:val="none" w:sz="0" w:space="0" w:color="auto"/>
            <w:left w:val="none" w:sz="0" w:space="0" w:color="auto"/>
            <w:bottom w:val="none" w:sz="0" w:space="0" w:color="auto"/>
            <w:right w:val="none" w:sz="0" w:space="0" w:color="auto"/>
          </w:divBdr>
          <w:divsChild>
            <w:div w:id="1732845909">
              <w:marLeft w:val="0"/>
              <w:marRight w:val="0"/>
              <w:marTop w:val="0"/>
              <w:marBottom w:val="0"/>
              <w:divBdr>
                <w:top w:val="none" w:sz="0" w:space="0" w:color="auto"/>
                <w:left w:val="none" w:sz="0" w:space="0" w:color="auto"/>
                <w:bottom w:val="none" w:sz="0" w:space="0" w:color="auto"/>
                <w:right w:val="none" w:sz="0" w:space="0" w:color="auto"/>
              </w:divBdr>
            </w:div>
          </w:divsChild>
        </w:div>
        <w:div w:id="1516191032">
          <w:marLeft w:val="0"/>
          <w:marRight w:val="0"/>
          <w:marTop w:val="0"/>
          <w:marBottom w:val="0"/>
          <w:divBdr>
            <w:top w:val="none" w:sz="0" w:space="0" w:color="auto"/>
            <w:left w:val="none" w:sz="0" w:space="0" w:color="auto"/>
            <w:bottom w:val="none" w:sz="0" w:space="0" w:color="auto"/>
            <w:right w:val="none" w:sz="0" w:space="0" w:color="auto"/>
          </w:divBdr>
          <w:divsChild>
            <w:div w:id="700935652">
              <w:marLeft w:val="0"/>
              <w:marRight w:val="0"/>
              <w:marTop w:val="0"/>
              <w:marBottom w:val="0"/>
              <w:divBdr>
                <w:top w:val="none" w:sz="0" w:space="0" w:color="auto"/>
                <w:left w:val="none" w:sz="0" w:space="0" w:color="auto"/>
                <w:bottom w:val="none" w:sz="0" w:space="0" w:color="auto"/>
                <w:right w:val="none" w:sz="0" w:space="0" w:color="auto"/>
              </w:divBdr>
            </w:div>
          </w:divsChild>
        </w:div>
        <w:div w:id="1527449643">
          <w:marLeft w:val="0"/>
          <w:marRight w:val="0"/>
          <w:marTop w:val="0"/>
          <w:marBottom w:val="0"/>
          <w:divBdr>
            <w:top w:val="none" w:sz="0" w:space="0" w:color="auto"/>
            <w:left w:val="none" w:sz="0" w:space="0" w:color="auto"/>
            <w:bottom w:val="none" w:sz="0" w:space="0" w:color="auto"/>
            <w:right w:val="none" w:sz="0" w:space="0" w:color="auto"/>
          </w:divBdr>
          <w:divsChild>
            <w:div w:id="1073967011">
              <w:marLeft w:val="0"/>
              <w:marRight w:val="0"/>
              <w:marTop w:val="0"/>
              <w:marBottom w:val="0"/>
              <w:divBdr>
                <w:top w:val="none" w:sz="0" w:space="0" w:color="auto"/>
                <w:left w:val="none" w:sz="0" w:space="0" w:color="auto"/>
                <w:bottom w:val="none" w:sz="0" w:space="0" w:color="auto"/>
                <w:right w:val="none" w:sz="0" w:space="0" w:color="auto"/>
              </w:divBdr>
            </w:div>
          </w:divsChild>
        </w:div>
        <w:div w:id="1582834225">
          <w:marLeft w:val="0"/>
          <w:marRight w:val="0"/>
          <w:marTop w:val="0"/>
          <w:marBottom w:val="0"/>
          <w:divBdr>
            <w:top w:val="none" w:sz="0" w:space="0" w:color="auto"/>
            <w:left w:val="none" w:sz="0" w:space="0" w:color="auto"/>
            <w:bottom w:val="none" w:sz="0" w:space="0" w:color="auto"/>
            <w:right w:val="none" w:sz="0" w:space="0" w:color="auto"/>
          </w:divBdr>
          <w:divsChild>
            <w:div w:id="1450733972">
              <w:marLeft w:val="0"/>
              <w:marRight w:val="0"/>
              <w:marTop w:val="0"/>
              <w:marBottom w:val="0"/>
              <w:divBdr>
                <w:top w:val="none" w:sz="0" w:space="0" w:color="auto"/>
                <w:left w:val="none" w:sz="0" w:space="0" w:color="auto"/>
                <w:bottom w:val="none" w:sz="0" w:space="0" w:color="auto"/>
                <w:right w:val="none" w:sz="0" w:space="0" w:color="auto"/>
              </w:divBdr>
            </w:div>
          </w:divsChild>
        </w:div>
        <w:div w:id="1590233216">
          <w:marLeft w:val="0"/>
          <w:marRight w:val="0"/>
          <w:marTop w:val="0"/>
          <w:marBottom w:val="0"/>
          <w:divBdr>
            <w:top w:val="none" w:sz="0" w:space="0" w:color="auto"/>
            <w:left w:val="none" w:sz="0" w:space="0" w:color="auto"/>
            <w:bottom w:val="none" w:sz="0" w:space="0" w:color="auto"/>
            <w:right w:val="none" w:sz="0" w:space="0" w:color="auto"/>
          </w:divBdr>
          <w:divsChild>
            <w:div w:id="1781799947">
              <w:marLeft w:val="0"/>
              <w:marRight w:val="0"/>
              <w:marTop w:val="0"/>
              <w:marBottom w:val="0"/>
              <w:divBdr>
                <w:top w:val="none" w:sz="0" w:space="0" w:color="auto"/>
                <w:left w:val="none" w:sz="0" w:space="0" w:color="auto"/>
                <w:bottom w:val="none" w:sz="0" w:space="0" w:color="auto"/>
                <w:right w:val="none" w:sz="0" w:space="0" w:color="auto"/>
              </w:divBdr>
            </w:div>
          </w:divsChild>
        </w:div>
        <w:div w:id="1598368330">
          <w:marLeft w:val="0"/>
          <w:marRight w:val="0"/>
          <w:marTop w:val="0"/>
          <w:marBottom w:val="0"/>
          <w:divBdr>
            <w:top w:val="none" w:sz="0" w:space="0" w:color="auto"/>
            <w:left w:val="none" w:sz="0" w:space="0" w:color="auto"/>
            <w:bottom w:val="none" w:sz="0" w:space="0" w:color="auto"/>
            <w:right w:val="none" w:sz="0" w:space="0" w:color="auto"/>
          </w:divBdr>
          <w:divsChild>
            <w:div w:id="493373591">
              <w:marLeft w:val="0"/>
              <w:marRight w:val="0"/>
              <w:marTop w:val="0"/>
              <w:marBottom w:val="0"/>
              <w:divBdr>
                <w:top w:val="none" w:sz="0" w:space="0" w:color="auto"/>
                <w:left w:val="none" w:sz="0" w:space="0" w:color="auto"/>
                <w:bottom w:val="none" w:sz="0" w:space="0" w:color="auto"/>
                <w:right w:val="none" w:sz="0" w:space="0" w:color="auto"/>
              </w:divBdr>
            </w:div>
          </w:divsChild>
        </w:div>
        <w:div w:id="1606959844">
          <w:marLeft w:val="0"/>
          <w:marRight w:val="0"/>
          <w:marTop w:val="0"/>
          <w:marBottom w:val="0"/>
          <w:divBdr>
            <w:top w:val="none" w:sz="0" w:space="0" w:color="auto"/>
            <w:left w:val="none" w:sz="0" w:space="0" w:color="auto"/>
            <w:bottom w:val="none" w:sz="0" w:space="0" w:color="auto"/>
            <w:right w:val="none" w:sz="0" w:space="0" w:color="auto"/>
          </w:divBdr>
          <w:divsChild>
            <w:div w:id="84807623">
              <w:marLeft w:val="0"/>
              <w:marRight w:val="0"/>
              <w:marTop w:val="0"/>
              <w:marBottom w:val="0"/>
              <w:divBdr>
                <w:top w:val="none" w:sz="0" w:space="0" w:color="auto"/>
                <w:left w:val="none" w:sz="0" w:space="0" w:color="auto"/>
                <w:bottom w:val="none" w:sz="0" w:space="0" w:color="auto"/>
                <w:right w:val="none" w:sz="0" w:space="0" w:color="auto"/>
              </w:divBdr>
            </w:div>
          </w:divsChild>
        </w:div>
        <w:div w:id="1629819942">
          <w:marLeft w:val="0"/>
          <w:marRight w:val="0"/>
          <w:marTop w:val="0"/>
          <w:marBottom w:val="0"/>
          <w:divBdr>
            <w:top w:val="none" w:sz="0" w:space="0" w:color="auto"/>
            <w:left w:val="none" w:sz="0" w:space="0" w:color="auto"/>
            <w:bottom w:val="none" w:sz="0" w:space="0" w:color="auto"/>
            <w:right w:val="none" w:sz="0" w:space="0" w:color="auto"/>
          </w:divBdr>
          <w:divsChild>
            <w:div w:id="1338271200">
              <w:marLeft w:val="0"/>
              <w:marRight w:val="0"/>
              <w:marTop w:val="0"/>
              <w:marBottom w:val="0"/>
              <w:divBdr>
                <w:top w:val="none" w:sz="0" w:space="0" w:color="auto"/>
                <w:left w:val="none" w:sz="0" w:space="0" w:color="auto"/>
                <w:bottom w:val="none" w:sz="0" w:space="0" w:color="auto"/>
                <w:right w:val="none" w:sz="0" w:space="0" w:color="auto"/>
              </w:divBdr>
            </w:div>
          </w:divsChild>
        </w:div>
        <w:div w:id="1651981272">
          <w:marLeft w:val="0"/>
          <w:marRight w:val="0"/>
          <w:marTop w:val="0"/>
          <w:marBottom w:val="0"/>
          <w:divBdr>
            <w:top w:val="none" w:sz="0" w:space="0" w:color="auto"/>
            <w:left w:val="none" w:sz="0" w:space="0" w:color="auto"/>
            <w:bottom w:val="none" w:sz="0" w:space="0" w:color="auto"/>
            <w:right w:val="none" w:sz="0" w:space="0" w:color="auto"/>
          </w:divBdr>
          <w:divsChild>
            <w:div w:id="1716469927">
              <w:marLeft w:val="0"/>
              <w:marRight w:val="0"/>
              <w:marTop w:val="0"/>
              <w:marBottom w:val="0"/>
              <w:divBdr>
                <w:top w:val="none" w:sz="0" w:space="0" w:color="auto"/>
                <w:left w:val="none" w:sz="0" w:space="0" w:color="auto"/>
                <w:bottom w:val="none" w:sz="0" w:space="0" w:color="auto"/>
                <w:right w:val="none" w:sz="0" w:space="0" w:color="auto"/>
              </w:divBdr>
            </w:div>
          </w:divsChild>
        </w:div>
        <w:div w:id="1730494886">
          <w:marLeft w:val="0"/>
          <w:marRight w:val="0"/>
          <w:marTop w:val="0"/>
          <w:marBottom w:val="0"/>
          <w:divBdr>
            <w:top w:val="none" w:sz="0" w:space="0" w:color="auto"/>
            <w:left w:val="none" w:sz="0" w:space="0" w:color="auto"/>
            <w:bottom w:val="none" w:sz="0" w:space="0" w:color="auto"/>
            <w:right w:val="none" w:sz="0" w:space="0" w:color="auto"/>
          </w:divBdr>
          <w:divsChild>
            <w:div w:id="577130968">
              <w:marLeft w:val="0"/>
              <w:marRight w:val="0"/>
              <w:marTop w:val="0"/>
              <w:marBottom w:val="0"/>
              <w:divBdr>
                <w:top w:val="none" w:sz="0" w:space="0" w:color="auto"/>
                <w:left w:val="none" w:sz="0" w:space="0" w:color="auto"/>
                <w:bottom w:val="none" w:sz="0" w:space="0" w:color="auto"/>
                <w:right w:val="none" w:sz="0" w:space="0" w:color="auto"/>
              </w:divBdr>
            </w:div>
          </w:divsChild>
        </w:div>
        <w:div w:id="1743334153">
          <w:marLeft w:val="0"/>
          <w:marRight w:val="0"/>
          <w:marTop w:val="0"/>
          <w:marBottom w:val="0"/>
          <w:divBdr>
            <w:top w:val="none" w:sz="0" w:space="0" w:color="auto"/>
            <w:left w:val="none" w:sz="0" w:space="0" w:color="auto"/>
            <w:bottom w:val="none" w:sz="0" w:space="0" w:color="auto"/>
            <w:right w:val="none" w:sz="0" w:space="0" w:color="auto"/>
          </w:divBdr>
          <w:divsChild>
            <w:div w:id="666909789">
              <w:marLeft w:val="0"/>
              <w:marRight w:val="0"/>
              <w:marTop w:val="0"/>
              <w:marBottom w:val="0"/>
              <w:divBdr>
                <w:top w:val="none" w:sz="0" w:space="0" w:color="auto"/>
                <w:left w:val="none" w:sz="0" w:space="0" w:color="auto"/>
                <w:bottom w:val="none" w:sz="0" w:space="0" w:color="auto"/>
                <w:right w:val="none" w:sz="0" w:space="0" w:color="auto"/>
              </w:divBdr>
            </w:div>
          </w:divsChild>
        </w:div>
        <w:div w:id="1832209541">
          <w:marLeft w:val="0"/>
          <w:marRight w:val="0"/>
          <w:marTop w:val="0"/>
          <w:marBottom w:val="0"/>
          <w:divBdr>
            <w:top w:val="none" w:sz="0" w:space="0" w:color="auto"/>
            <w:left w:val="none" w:sz="0" w:space="0" w:color="auto"/>
            <w:bottom w:val="none" w:sz="0" w:space="0" w:color="auto"/>
            <w:right w:val="none" w:sz="0" w:space="0" w:color="auto"/>
          </w:divBdr>
          <w:divsChild>
            <w:div w:id="667709414">
              <w:marLeft w:val="0"/>
              <w:marRight w:val="0"/>
              <w:marTop w:val="0"/>
              <w:marBottom w:val="0"/>
              <w:divBdr>
                <w:top w:val="none" w:sz="0" w:space="0" w:color="auto"/>
                <w:left w:val="none" w:sz="0" w:space="0" w:color="auto"/>
                <w:bottom w:val="none" w:sz="0" w:space="0" w:color="auto"/>
                <w:right w:val="none" w:sz="0" w:space="0" w:color="auto"/>
              </w:divBdr>
            </w:div>
          </w:divsChild>
        </w:div>
        <w:div w:id="1836070898">
          <w:marLeft w:val="0"/>
          <w:marRight w:val="0"/>
          <w:marTop w:val="0"/>
          <w:marBottom w:val="0"/>
          <w:divBdr>
            <w:top w:val="none" w:sz="0" w:space="0" w:color="auto"/>
            <w:left w:val="none" w:sz="0" w:space="0" w:color="auto"/>
            <w:bottom w:val="none" w:sz="0" w:space="0" w:color="auto"/>
            <w:right w:val="none" w:sz="0" w:space="0" w:color="auto"/>
          </w:divBdr>
          <w:divsChild>
            <w:div w:id="1188835004">
              <w:marLeft w:val="0"/>
              <w:marRight w:val="0"/>
              <w:marTop w:val="0"/>
              <w:marBottom w:val="0"/>
              <w:divBdr>
                <w:top w:val="none" w:sz="0" w:space="0" w:color="auto"/>
                <w:left w:val="none" w:sz="0" w:space="0" w:color="auto"/>
                <w:bottom w:val="none" w:sz="0" w:space="0" w:color="auto"/>
                <w:right w:val="none" w:sz="0" w:space="0" w:color="auto"/>
              </w:divBdr>
            </w:div>
          </w:divsChild>
        </w:div>
        <w:div w:id="1859808212">
          <w:marLeft w:val="0"/>
          <w:marRight w:val="0"/>
          <w:marTop w:val="0"/>
          <w:marBottom w:val="0"/>
          <w:divBdr>
            <w:top w:val="none" w:sz="0" w:space="0" w:color="auto"/>
            <w:left w:val="none" w:sz="0" w:space="0" w:color="auto"/>
            <w:bottom w:val="none" w:sz="0" w:space="0" w:color="auto"/>
            <w:right w:val="none" w:sz="0" w:space="0" w:color="auto"/>
          </w:divBdr>
          <w:divsChild>
            <w:div w:id="1805851279">
              <w:marLeft w:val="0"/>
              <w:marRight w:val="0"/>
              <w:marTop w:val="0"/>
              <w:marBottom w:val="0"/>
              <w:divBdr>
                <w:top w:val="none" w:sz="0" w:space="0" w:color="auto"/>
                <w:left w:val="none" w:sz="0" w:space="0" w:color="auto"/>
                <w:bottom w:val="none" w:sz="0" w:space="0" w:color="auto"/>
                <w:right w:val="none" w:sz="0" w:space="0" w:color="auto"/>
              </w:divBdr>
            </w:div>
          </w:divsChild>
        </w:div>
        <w:div w:id="1860006709">
          <w:marLeft w:val="0"/>
          <w:marRight w:val="0"/>
          <w:marTop w:val="0"/>
          <w:marBottom w:val="0"/>
          <w:divBdr>
            <w:top w:val="none" w:sz="0" w:space="0" w:color="auto"/>
            <w:left w:val="none" w:sz="0" w:space="0" w:color="auto"/>
            <w:bottom w:val="none" w:sz="0" w:space="0" w:color="auto"/>
            <w:right w:val="none" w:sz="0" w:space="0" w:color="auto"/>
          </w:divBdr>
          <w:divsChild>
            <w:div w:id="1904245051">
              <w:marLeft w:val="0"/>
              <w:marRight w:val="0"/>
              <w:marTop w:val="0"/>
              <w:marBottom w:val="0"/>
              <w:divBdr>
                <w:top w:val="none" w:sz="0" w:space="0" w:color="auto"/>
                <w:left w:val="none" w:sz="0" w:space="0" w:color="auto"/>
                <w:bottom w:val="none" w:sz="0" w:space="0" w:color="auto"/>
                <w:right w:val="none" w:sz="0" w:space="0" w:color="auto"/>
              </w:divBdr>
            </w:div>
          </w:divsChild>
        </w:div>
        <w:div w:id="1894805656">
          <w:marLeft w:val="0"/>
          <w:marRight w:val="0"/>
          <w:marTop w:val="0"/>
          <w:marBottom w:val="0"/>
          <w:divBdr>
            <w:top w:val="none" w:sz="0" w:space="0" w:color="auto"/>
            <w:left w:val="none" w:sz="0" w:space="0" w:color="auto"/>
            <w:bottom w:val="none" w:sz="0" w:space="0" w:color="auto"/>
            <w:right w:val="none" w:sz="0" w:space="0" w:color="auto"/>
          </w:divBdr>
          <w:divsChild>
            <w:div w:id="1593589934">
              <w:marLeft w:val="0"/>
              <w:marRight w:val="0"/>
              <w:marTop w:val="0"/>
              <w:marBottom w:val="0"/>
              <w:divBdr>
                <w:top w:val="none" w:sz="0" w:space="0" w:color="auto"/>
                <w:left w:val="none" w:sz="0" w:space="0" w:color="auto"/>
                <w:bottom w:val="none" w:sz="0" w:space="0" w:color="auto"/>
                <w:right w:val="none" w:sz="0" w:space="0" w:color="auto"/>
              </w:divBdr>
            </w:div>
          </w:divsChild>
        </w:div>
        <w:div w:id="1959723128">
          <w:marLeft w:val="0"/>
          <w:marRight w:val="0"/>
          <w:marTop w:val="0"/>
          <w:marBottom w:val="0"/>
          <w:divBdr>
            <w:top w:val="none" w:sz="0" w:space="0" w:color="auto"/>
            <w:left w:val="none" w:sz="0" w:space="0" w:color="auto"/>
            <w:bottom w:val="none" w:sz="0" w:space="0" w:color="auto"/>
            <w:right w:val="none" w:sz="0" w:space="0" w:color="auto"/>
          </w:divBdr>
          <w:divsChild>
            <w:div w:id="2125342319">
              <w:marLeft w:val="0"/>
              <w:marRight w:val="0"/>
              <w:marTop w:val="0"/>
              <w:marBottom w:val="0"/>
              <w:divBdr>
                <w:top w:val="none" w:sz="0" w:space="0" w:color="auto"/>
                <w:left w:val="none" w:sz="0" w:space="0" w:color="auto"/>
                <w:bottom w:val="none" w:sz="0" w:space="0" w:color="auto"/>
                <w:right w:val="none" w:sz="0" w:space="0" w:color="auto"/>
              </w:divBdr>
            </w:div>
          </w:divsChild>
        </w:div>
        <w:div w:id="1962564981">
          <w:marLeft w:val="0"/>
          <w:marRight w:val="0"/>
          <w:marTop w:val="0"/>
          <w:marBottom w:val="0"/>
          <w:divBdr>
            <w:top w:val="none" w:sz="0" w:space="0" w:color="auto"/>
            <w:left w:val="none" w:sz="0" w:space="0" w:color="auto"/>
            <w:bottom w:val="none" w:sz="0" w:space="0" w:color="auto"/>
            <w:right w:val="none" w:sz="0" w:space="0" w:color="auto"/>
          </w:divBdr>
          <w:divsChild>
            <w:div w:id="1511215443">
              <w:marLeft w:val="0"/>
              <w:marRight w:val="0"/>
              <w:marTop w:val="0"/>
              <w:marBottom w:val="0"/>
              <w:divBdr>
                <w:top w:val="none" w:sz="0" w:space="0" w:color="auto"/>
                <w:left w:val="none" w:sz="0" w:space="0" w:color="auto"/>
                <w:bottom w:val="none" w:sz="0" w:space="0" w:color="auto"/>
                <w:right w:val="none" w:sz="0" w:space="0" w:color="auto"/>
              </w:divBdr>
            </w:div>
          </w:divsChild>
        </w:div>
        <w:div w:id="1990476641">
          <w:marLeft w:val="0"/>
          <w:marRight w:val="0"/>
          <w:marTop w:val="0"/>
          <w:marBottom w:val="0"/>
          <w:divBdr>
            <w:top w:val="none" w:sz="0" w:space="0" w:color="auto"/>
            <w:left w:val="none" w:sz="0" w:space="0" w:color="auto"/>
            <w:bottom w:val="none" w:sz="0" w:space="0" w:color="auto"/>
            <w:right w:val="none" w:sz="0" w:space="0" w:color="auto"/>
          </w:divBdr>
          <w:divsChild>
            <w:div w:id="1652099993">
              <w:marLeft w:val="0"/>
              <w:marRight w:val="0"/>
              <w:marTop w:val="0"/>
              <w:marBottom w:val="0"/>
              <w:divBdr>
                <w:top w:val="none" w:sz="0" w:space="0" w:color="auto"/>
                <w:left w:val="none" w:sz="0" w:space="0" w:color="auto"/>
                <w:bottom w:val="none" w:sz="0" w:space="0" w:color="auto"/>
                <w:right w:val="none" w:sz="0" w:space="0" w:color="auto"/>
              </w:divBdr>
            </w:div>
          </w:divsChild>
        </w:div>
        <w:div w:id="2015107649">
          <w:marLeft w:val="0"/>
          <w:marRight w:val="0"/>
          <w:marTop w:val="0"/>
          <w:marBottom w:val="0"/>
          <w:divBdr>
            <w:top w:val="none" w:sz="0" w:space="0" w:color="auto"/>
            <w:left w:val="none" w:sz="0" w:space="0" w:color="auto"/>
            <w:bottom w:val="none" w:sz="0" w:space="0" w:color="auto"/>
            <w:right w:val="none" w:sz="0" w:space="0" w:color="auto"/>
          </w:divBdr>
          <w:divsChild>
            <w:div w:id="2109614533">
              <w:marLeft w:val="0"/>
              <w:marRight w:val="0"/>
              <w:marTop w:val="0"/>
              <w:marBottom w:val="0"/>
              <w:divBdr>
                <w:top w:val="none" w:sz="0" w:space="0" w:color="auto"/>
                <w:left w:val="none" w:sz="0" w:space="0" w:color="auto"/>
                <w:bottom w:val="none" w:sz="0" w:space="0" w:color="auto"/>
                <w:right w:val="none" w:sz="0" w:space="0" w:color="auto"/>
              </w:divBdr>
            </w:div>
          </w:divsChild>
        </w:div>
        <w:div w:id="2045520759">
          <w:marLeft w:val="0"/>
          <w:marRight w:val="0"/>
          <w:marTop w:val="0"/>
          <w:marBottom w:val="0"/>
          <w:divBdr>
            <w:top w:val="none" w:sz="0" w:space="0" w:color="auto"/>
            <w:left w:val="none" w:sz="0" w:space="0" w:color="auto"/>
            <w:bottom w:val="none" w:sz="0" w:space="0" w:color="auto"/>
            <w:right w:val="none" w:sz="0" w:space="0" w:color="auto"/>
          </w:divBdr>
          <w:divsChild>
            <w:div w:id="2136751085">
              <w:marLeft w:val="0"/>
              <w:marRight w:val="0"/>
              <w:marTop w:val="0"/>
              <w:marBottom w:val="0"/>
              <w:divBdr>
                <w:top w:val="none" w:sz="0" w:space="0" w:color="auto"/>
                <w:left w:val="none" w:sz="0" w:space="0" w:color="auto"/>
                <w:bottom w:val="none" w:sz="0" w:space="0" w:color="auto"/>
                <w:right w:val="none" w:sz="0" w:space="0" w:color="auto"/>
              </w:divBdr>
            </w:div>
          </w:divsChild>
        </w:div>
        <w:div w:id="2058697770">
          <w:marLeft w:val="0"/>
          <w:marRight w:val="0"/>
          <w:marTop w:val="0"/>
          <w:marBottom w:val="0"/>
          <w:divBdr>
            <w:top w:val="none" w:sz="0" w:space="0" w:color="auto"/>
            <w:left w:val="none" w:sz="0" w:space="0" w:color="auto"/>
            <w:bottom w:val="none" w:sz="0" w:space="0" w:color="auto"/>
            <w:right w:val="none" w:sz="0" w:space="0" w:color="auto"/>
          </w:divBdr>
          <w:divsChild>
            <w:div w:id="1648515148">
              <w:marLeft w:val="0"/>
              <w:marRight w:val="0"/>
              <w:marTop w:val="0"/>
              <w:marBottom w:val="0"/>
              <w:divBdr>
                <w:top w:val="none" w:sz="0" w:space="0" w:color="auto"/>
                <w:left w:val="none" w:sz="0" w:space="0" w:color="auto"/>
                <w:bottom w:val="none" w:sz="0" w:space="0" w:color="auto"/>
                <w:right w:val="none" w:sz="0" w:space="0" w:color="auto"/>
              </w:divBdr>
            </w:div>
          </w:divsChild>
        </w:div>
        <w:div w:id="2095198128">
          <w:marLeft w:val="0"/>
          <w:marRight w:val="0"/>
          <w:marTop w:val="0"/>
          <w:marBottom w:val="0"/>
          <w:divBdr>
            <w:top w:val="none" w:sz="0" w:space="0" w:color="auto"/>
            <w:left w:val="none" w:sz="0" w:space="0" w:color="auto"/>
            <w:bottom w:val="none" w:sz="0" w:space="0" w:color="auto"/>
            <w:right w:val="none" w:sz="0" w:space="0" w:color="auto"/>
          </w:divBdr>
          <w:divsChild>
            <w:div w:id="1608466039">
              <w:marLeft w:val="0"/>
              <w:marRight w:val="0"/>
              <w:marTop w:val="0"/>
              <w:marBottom w:val="0"/>
              <w:divBdr>
                <w:top w:val="none" w:sz="0" w:space="0" w:color="auto"/>
                <w:left w:val="none" w:sz="0" w:space="0" w:color="auto"/>
                <w:bottom w:val="none" w:sz="0" w:space="0" w:color="auto"/>
                <w:right w:val="none" w:sz="0" w:space="0" w:color="auto"/>
              </w:divBdr>
            </w:div>
          </w:divsChild>
        </w:div>
        <w:div w:id="2097360797">
          <w:marLeft w:val="0"/>
          <w:marRight w:val="0"/>
          <w:marTop w:val="0"/>
          <w:marBottom w:val="0"/>
          <w:divBdr>
            <w:top w:val="none" w:sz="0" w:space="0" w:color="auto"/>
            <w:left w:val="none" w:sz="0" w:space="0" w:color="auto"/>
            <w:bottom w:val="none" w:sz="0" w:space="0" w:color="auto"/>
            <w:right w:val="none" w:sz="0" w:space="0" w:color="auto"/>
          </w:divBdr>
          <w:divsChild>
            <w:div w:id="871068316">
              <w:marLeft w:val="0"/>
              <w:marRight w:val="0"/>
              <w:marTop w:val="0"/>
              <w:marBottom w:val="0"/>
              <w:divBdr>
                <w:top w:val="none" w:sz="0" w:space="0" w:color="auto"/>
                <w:left w:val="none" w:sz="0" w:space="0" w:color="auto"/>
                <w:bottom w:val="none" w:sz="0" w:space="0" w:color="auto"/>
                <w:right w:val="none" w:sz="0" w:space="0" w:color="auto"/>
              </w:divBdr>
            </w:div>
          </w:divsChild>
        </w:div>
        <w:div w:id="2125077540">
          <w:marLeft w:val="0"/>
          <w:marRight w:val="0"/>
          <w:marTop w:val="0"/>
          <w:marBottom w:val="0"/>
          <w:divBdr>
            <w:top w:val="none" w:sz="0" w:space="0" w:color="auto"/>
            <w:left w:val="none" w:sz="0" w:space="0" w:color="auto"/>
            <w:bottom w:val="none" w:sz="0" w:space="0" w:color="auto"/>
            <w:right w:val="none" w:sz="0" w:space="0" w:color="auto"/>
          </w:divBdr>
          <w:divsChild>
            <w:div w:id="13825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5798">
      <w:bodyDiv w:val="1"/>
      <w:marLeft w:val="0"/>
      <w:marRight w:val="0"/>
      <w:marTop w:val="0"/>
      <w:marBottom w:val="0"/>
      <w:divBdr>
        <w:top w:val="none" w:sz="0" w:space="0" w:color="auto"/>
        <w:left w:val="none" w:sz="0" w:space="0" w:color="auto"/>
        <w:bottom w:val="none" w:sz="0" w:space="0" w:color="auto"/>
        <w:right w:val="none" w:sz="0" w:space="0" w:color="auto"/>
      </w:divBdr>
    </w:div>
    <w:div w:id="186570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www.environment.gov.au/resource/aquatic-ecosystems-toolkit-module-2-interim-australian-national-aquatic-ecosystem-anae" TargetMode="External"/><Relationship Id="rId21" Type="http://schemas.openxmlformats.org/officeDocument/2006/relationships/footer" Target="footer5.xml"/><Relationship Id="rId42" Type="http://schemas.openxmlformats.org/officeDocument/2006/relationships/image" Target="media/image14.jpeg"/><Relationship Id="rId47" Type="http://schemas.openxmlformats.org/officeDocument/2006/relationships/header" Target="header10.xml"/><Relationship Id="rId63" Type="http://schemas.openxmlformats.org/officeDocument/2006/relationships/image" Target="media/image21.jpeg"/><Relationship Id="rId68" Type="http://schemas.openxmlformats.org/officeDocument/2006/relationships/image" Target="media/image26.jpeg"/><Relationship Id="rId84" Type="http://schemas.openxmlformats.org/officeDocument/2006/relationships/image" Target="media/image40.jpeg"/><Relationship Id="rId89" Type="http://schemas.openxmlformats.org/officeDocument/2006/relationships/hyperlink" Target="https://www.bhp.com/-/media/bhp/regulatory-information-media/iron-ore/western-australia-iron-ore/0000/public-environmental-review-strategic-proposal/160316_ironore_waio_pilbarastrategicassessment_state_appendix6.pdf" TargetMode="External"/><Relationship Id="rId112" Type="http://schemas.openxmlformats.org/officeDocument/2006/relationships/hyperlink" Target="http://www.epa.wa.gov.au/policies-guidance/technical-guidance-sampling-methods-subterranean-fauna" TargetMode="External"/><Relationship Id="rId133" Type="http://schemas.openxmlformats.org/officeDocument/2006/relationships/hyperlink" Target="http://www.environment.gov.au/land/native-vegetation/national-vegetation-information-system" TargetMode="External"/><Relationship Id="rId138" Type="http://schemas.openxmlformats.org/officeDocument/2006/relationships/hyperlink" Target="http://www.environment.gov.au/biodiversity/threatened/communities" TargetMode="External"/><Relationship Id="rId154" Type="http://schemas.openxmlformats.org/officeDocument/2006/relationships/hyperlink" Target="https://www.environment.vic.gov.au/biodiversity/bioregions-and-evc-benchmarks" TargetMode="External"/><Relationship Id="rId159" Type="http://schemas.openxmlformats.org/officeDocument/2006/relationships/hyperlink" Target="http://www.vvg.org.au/" TargetMode="External"/><Relationship Id="rId175" Type="http://schemas.openxmlformats.org/officeDocument/2006/relationships/theme" Target="theme/theme1.xml"/><Relationship Id="rId170" Type="http://schemas.openxmlformats.org/officeDocument/2006/relationships/hyperlink" Target="http://dpipwe.tas.gov.au/Documents/CFEV%20GDE%20Report_Feb%2004.pdf" TargetMode="External"/><Relationship Id="rId16" Type="http://schemas.openxmlformats.org/officeDocument/2006/relationships/header" Target="header6.xml"/><Relationship Id="rId107" Type="http://schemas.openxmlformats.org/officeDocument/2006/relationships/hyperlink" Target="https://www.water.wa.gov.au/__data/assets/pdf_file/0010/6895/56338.pdf" TargetMode="External"/><Relationship Id="rId11" Type="http://schemas.openxmlformats.org/officeDocument/2006/relationships/footer" Target="footer2.xml"/><Relationship Id="rId32" Type="http://schemas.openxmlformats.org/officeDocument/2006/relationships/image" Target="media/image6.jpeg"/><Relationship Id="rId37" Type="http://schemas.openxmlformats.org/officeDocument/2006/relationships/image" Target="media/image10.jpeg"/><Relationship Id="rId53" Type="http://schemas.openxmlformats.org/officeDocument/2006/relationships/hyperlink" Target="http://www.bom.gov.au/water/groundwater/gde/" TargetMode="External"/><Relationship Id="rId58" Type="http://schemas.openxmlformats.org/officeDocument/2006/relationships/hyperlink" Target="https://modis.ornl.gov/cgi-bin/MODIS/global/subset.pl" TargetMode="External"/><Relationship Id="rId74" Type="http://schemas.openxmlformats.org/officeDocument/2006/relationships/image" Target="media/image32.jpeg"/><Relationship Id="rId79" Type="http://schemas.openxmlformats.org/officeDocument/2006/relationships/image" Target="media/image35.jpeg"/><Relationship Id="rId102" Type="http://schemas.openxmlformats.org/officeDocument/2006/relationships/hyperlink" Target="https://publications.csiro.au/rpr/download?pid=csiro:EP158350&amp;dsid=DS4" TargetMode="External"/><Relationship Id="rId123" Type="http://schemas.openxmlformats.org/officeDocument/2006/relationships/hyperlink" Target="http://www.ga.gov.au/interactive-maps/" TargetMode="External"/><Relationship Id="rId128" Type="http://schemas.openxmlformats.org/officeDocument/2006/relationships/hyperlink" Target="http://www.bom.gov.au/water/groundwater/ngis/" TargetMode="External"/><Relationship Id="rId144" Type="http://schemas.openxmlformats.org/officeDocument/2006/relationships/hyperlink" Target="https://www.qld.gov.au/environment/plants-animals/plants/herbarium/mapping-ecosystems" TargetMode="External"/><Relationship Id="rId149" Type="http://schemas.openxmlformats.org/officeDocument/2006/relationships/hyperlink" Target="http://www.water.nsw.gov.au/__data/assets/pdf_file/0005/547844/groundwater_dependent_ecosystem_policy_300402.pdf" TargetMode="External"/><Relationship Id="rId5" Type="http://schemas.openxmlformats.org/officeDocument/2006/relationships/footnotes" Target="footnotes.xml"/><Relationship Id="rId90" Type="http://schemas.openxmlformats.org/officeDocument/2006/relationships/hyperlink" Target="https://www.environment.gov.au/system/files/resources/d078caf3-3923-4416-a743-0988ac3f1ee1/files/sig-water-resources.pdf" TargetMode="External"/><Relationship Id="rId95" Type="http://schemas.openxmlformats.org/officeDocument/2006/relationships/hyperlink" Target="http://vro.agriculture.vic.gov.au/dpi/vro/vrosite.nsf/pages/lwm_mapping_terrestrial_gwater_dep_ecosystems_pdf/$FILE/mapping_terrestrial_gwater_dep_ecosystems_fp_toc.pdf" TargetMode="External"/><Relationship Id="rId160" Type="http://schemas.openxmlformats.org/officeDocument/2006/relationships/hyperlink" Target="http://www.epa.vic.gov.au/your-environment/land-and-groundwater/groundwater-pollution/gqruz-map" TargetMode="External"/><Relationship Id="rId165" Type="http://schemas.openxmlformats.org/officeDocument/2006/relationships/hyperlink" Target="http://www.water.wa.gov.au/__data/assets/pdf_file/0016/9430/111500.pdf" TargetMode="External"/><Relationship Id="rId22" Type="http://schemas.openxmlformats.org/officeDocument/2006/relationships/header" Target="header9.xml"/><Relationship Id="rId27" Type="http://schemas.openxmlformats.org/officeDocument/2006/relationships/image" Target="media/image5.jpeg"/><Relationship Id="rId43" Type="http://schemas.openxmlformats.org/officeDocument/2006/relationships/hyperlink" Target="http://www.climatechangeinaustralia.gov.au/" TargetMode="External"/><Relationship Id="rId48" Type="http://schemas.openxmlformats.org/officeDocument/2006/relationships/header" Target="header11.xml"/><Relationship Id="rId64" Type="http://schemas.openxmlformats.org/officeDocument/2006/relationships/image" Target="media/image22.png"/><Relationship Id="rId69" Type="http://schemas.openxmlformats.org/officeDocument/2006/relationships/image" Target="media/image27.jpeg"/><Relationship Id="rId113" Type="http://schemas.openxmlformats.org/officeDocument/2006/relationships/hyperlink" Target="http://www.epa.wa.gov.au/policies-guidance/technical-guidance-sampling-methods-subterranean-fauna" TargetMode="External"/><Relationship Id="rId118" Type="http://schemas.openxmlformats.org/officeDocument/2006/relationships/hyperlink" Target="http://www.bom.gov.au/water/groundwater/insight/" TargetMode="External"/><Relationship Id="rId134" Type="http://schemas.openxmlformats.org/officeDocument/2006/relationships/hyperlink" Target="http://www.bom.gov.au/water/groundwater/gde/map.shtml" TargetMode="External"/><Relationship Id="rId139" Type="http://schemas.openxmlformats.org/officeDocument/2006/relationships/hyperlink" Target="https://modis.ornl.gov/cgi-bin/MODIS/global/subset.pl" TargetMode="External"/><Relationship Id="rId80" Type="http://schemas.openxmlformats.org/officeDocument/2006/relationships/image" Target="media/image36.jpeg"/><Relationship Id="rId85" Type="http://schemas.openxmlformats.org/officeDocument/2006/relationships/hyperlink" Target="https://www.legislation.qld.gov.au/view/pdf/2017-07-03/act-2014-033" TargetMode="External"/><Relationship Id="rId150" Type="http://schemas.openxmlformats.org/officeDocument/2006/relationships/hyperlink" Target="https://www.water.nsw.gov.au/__data/assets/pdf_file/0011/691868/High-Probability-GDE-method-report.pdf" TargetMode="External"/><Relationship Id="rId155" Type="http://schemas.openxmlformats.org/officeDocument/2006/relationships/hyperlink" Target="http://vro.agriculture.vic.gov.au/dpi/vro/vrosite.nsf/pages/lwm_mapping_terrestrial_gwater_dep_ecosystems" TargetMode="External"/><Relationship Id="rId171" Type="http://schemas.openxmlformats.org/officeDocument/2006/relationships/hyperlink" Target="https://services.thelist.tas.gov.au/arcgis/rest/services/Public/NaturalEnvironment/MapServer/51" TargetMode="External"/><Relationship Id="rId12" Type="http://schemas.openxmlformats.org/officeDocument/2006/relationships/header" Target="header4.xml"/><Relationship Id="rId17" Type="http://schemas.openxmlformats.org/officeDocument/2006/relationships/image" Target="media/image2.jpeg"/><Relationship Id="rId33" Type="http://schemas.openxmlformats.org/officeDocument/2006/relationships/hyperlink" Target="https://wetlandinfo.ehp.qld.gov.au" TargetMode="External"/><Relationship Id="rId38" Type="http://schemas.openxmlformats.org/officeDocument/2006/relationships/image" Target="media/image11.gif"/><Relationship Id="rId59" Type="http://schemas.openxmlformats.org/officeDocument/2006/relationships/hyperlink" Target="https://landsat.usgs.gov/landsat-data-access" TargetMode="External"/><Relationship Id="rId103" Type="http://schemas.openxmlformats.org/officeDocument/2006/relationships/hyperlink" Target="http://www.bioregionalassessments.gov.au/assessments/262-groundwater-numerical-modelling-maranoa-balonne-condamine-subregion" TargetMode="External"/><Relationship Id="rId108" Type="http://schemas.openxmlformats.org/officeDocument/2006/relationships/hyperlink" Target="http://www.water.nsw.gov.au/__data/assets/pdf_file/0005/547682/gde_risk_assessment_guidelines_volume_1_final_accessible.pdf" TargetMode="External"/><Relationship Id="rId124" Type="http://schemas.openxmlformats.org/officeDocument/2006/relationships/hyperlink" Target="http://www.ga.gov.au/interactive-maps/" TargetMode="External"/><Relationship Id="rId129" Type="http://schemas.openxmlformats.org/officeDocument/2006/relationships/hyperlink" Target="http://www.bom.gov.au/" TargetMode="External"/><Relationship Id="rId54" Type="http://schemas.openxmlformats.org/officeDocument/2006/relationships/hyperlink" Target="http://www.environment.gov.au/resource/aquatic-ecosystems-toolkit-module-2-interim-australian-national-aquatic-ecosystem-anae" TargetMode="External"/><Relationship Id="rId70" Type="http://schemas.openxmlformats.org/officeDocument/2006/relationships/image" Target="media/image28.jpeg"/><Relationship Id="rId75" Type="http://schemas.openxmlformats.org/officeDocument/2006/relationships/image" Target="media/image33.jpeg"/><Relationship Id="rId91" Type="http://schemas.openxmlformats.org/officeDocument/2006/relationships/hyperlink" Target="https://www.water.nsw.gov.au/__data/assets/pdf_file/0011/691868/High-Probability-GDE-method-report.pdf" TargetMode="External"/><Relationship Id="rId96" Type="http://schemas.openxmlformats.org/officeDocument/2006/relationships/hyperlink" Target="http://www.epa.wa.gov.au/evaluating-environmental-condition-weeli-wolli-creek" TargetMode="External"/><Relationship Id="rId140" Type="http://schemas.openxmlformats.org/officeDocument/2006/relationships/hyperlink" Target="https://modis.ornl.gov/cgi-bin/MODIS/global/subset.pl" TargetMode="External"/><Relationship Id="rId145" Type="http://schemas.openxmlformats.org/officeDocument/2006/relationships/hyperlink" Target="https://www.ehp.qld.gov.au/management/planning-guidelines/method-mapping-mses.html" TargetMode="External"/><Relationship Id="rId161" Type="http://schemas.openxmlformats.org/officeDocument/2006/relationships/hyperlink" Target="https://www.waterconnect.sa.gov.au/Content/Publications/DEWNR/DFW_TR_2012_03.pdf" TargetMode="External"/><Relationship Id="rId166" Type="http://schemas.openxmlformats.org/officeDocument/2006/relationships/hyperlink" Target="https://www.water.wa.gov.au/__data/assets/pdf_file/0020/5177/85353.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iesc.environment.gov.au/" TargetMode="External"/><Relationship Id="rId28" Type="http://schemas.openxmlformats.org/officeDocument/2006/relationships/hyperlink" Target="https://ehs.msu.edu/_assets/images/whpp-pics/" TargetMode="External"/><Relationship Id="rId49" Type="http://schemas.openxmlformats.org/officeDocument/2006/relationships/footer" Target="footer6.xml"/><Relationship Id="rId114" Type="http://schemas.openxmlformats.org/officeDocument/2006/relationships/hyperlink" Target="http://www.epa.wa.gov.au/policies-guidance/technical-guidance-sampling-methods-subterranean-fauna" TargetMode="External"/><Relationship Id="rId119" Type="http://schemas.openxmlformats.org/officeDocument/2006/relationships/hyperlink" Target="http://www.bom.gov.au/water/groundwater/explorer/map.shtml" TargetMode="External"/><Relationship Id="rId10" Type="http://schemas.openxmlformats.org/officeDocument/2006/relationships/header" Target="header3.xml"/><Relationship Id="rId31" Type="http://schemas.openxmlformats.org/officeDocument/2006/relationships/hyperlink" Target="http://www.bom.gov.au/water/groundwater/gde/GDEToolbox_PartOne_Assessment-Framework.pdf" TargetMode="External"/><Relationship Id="rId44" Type="http://schemas.openxmlformats.org/officeDocument/2006/relationships/image" Target="media/image15.jpeg"/><Relationship Id="rId52" Type="http://schemas.openxmlformats.org/officeDocument/2006/relationships/image" Target="media/image17.png"/><Relationship Id="rId60" Type="http://schemas.openxmlformats.org/officeDocument/2006/relationships/hyperlink" Target="http://nci.org.au/services/virtual-laboratories/australian-geoscience-data-cube/" TargetMode="External"/><Relationship Id="rId65" Type="http://schemas.openxmlformats.org/officeDocument/2006/relationships/image" Target="media/image23.jpeg"/><Relationship Id="rId73" Type="http://schemas.openxmlformats.org/officeDocument/2006/relationships/image" Target="media/image31.pn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1.jpeg"/><Relationship Id="rId94" Type="http://schemas.openxmlformats.org/officeDocument/2006/relationships/hyperlink" Target="https://publications.qld.gov.au/he/dataset/6460098a-8500-4a44-b2c9-b593290c2e96/resource/9b52a6c5-3461-47ef-b3a0-5aa3d5d38cf4" TargetMode="External"/><Relationship Id="rId99" Type="http://schemas.openxmlformats.org/officeDocument/2006/relationships/hyperlink" Target="http://eisdocs.dsdip.qld.gov.au/Carmichael%20Coal%20Mine%20and%20Rail/AEIS/gde-management-plan-11022014.pdf" TargetMode="External"/><Relationship Id="rId101" Type="http://schemas.openxmlformats.org/officeDocument/2006/relationships/hyperlink" Target="http://data.bioregionalassessments.gov.au/product/NIC/MBC/2.3" TargetMode="External"/><Relationship Id="rId122" Type="http://schemas.openxmlformats.org/officeDocument/2006/relationships/hyperlink" Target="http://www.bom.gov.au/water/geofabric/" TargetMode="External"/><Relationship Id="rId130" Type="http://schemas.openxmlformats.org/officeDocument/2006/relationships/hyperlink" Target="http://www.bom.gov.au/water/groundwater/insight/" TargetMode="External"/><Relationship Id="rId135" Type="http://schemas.openxmlformats.org/officeDocument/2006/relationships/hyperlink" Target="http://www.bom.gov.au/water/groundwater/gde/map.shtml" TargetMode="External"/><Relationship Id="rId143" Type="http://schemas.openxmlformats.org/officeDocument/2006/relationships/hyperlink" Target="https://www.ehp.qld.gov.au/wetlandmaps/" TargetMode="External"/><Relationship Id="rId148" Type="http://schemas.openxmlformats.org/officeDocument/2006/relationships/hyperlink" Target="https://data.gov.au/dataset/b6df5934-c978-471c-83a0-c55b5031f79b" TargetMode="External"/><Relationship Id="rId151" Type="http://schemas.openxmlformats.org/officeDocument/2006/relationships/hyperlink" Target="https://frackinginquiry.nt.gov.au/submission-library?a=446549" TargetMode="External"/><Relationship Id="rId156" Type="http://schemas.openxmlformats.org/officeDocument/2006/relationships/hyperlink" Target="https://www.data.vic.gov.au/data/dataset/potential-groundwater-dependent-ecosystem-gde-mapping-for-the-wimmera-cma" TargetMode="External"/><Relationship Id="rId164" Type="http://schemas.openxmlformats.org/officeDocument/2006/relationships/hyperlink" Target="https://catalogue.data.wa.gov.au/" TargetMode="External"/><Relationship Id="rId169" Type="http://schemas.openxmlformats.org/officeDocument/2006/relationships/hyperlink" Target="https://www.environment.gov.au/system/files/resources/92e8bd26-c08d-46d7-b166-ba0651755224/files/ssr162-dalybasin.pdf" TargetMode="Externa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hyperlink" Target="https://stors.tas.gov.au/store/exlibris1/storage/STORS/2012/06/07/file_2/au-7-0054-00574_1.pdf" TargetMode="External"/><Relationship Id="rId13" Type="http://schemas.openxmlformats.org/officeDocument/2006/relationships/header" Target="header5.xml"/><Relationship Id="rId18" Type="http://schemas.openxmlformats.org/officeDocument/2006/relationships/hyperlink" Target="http://creativecommons.org/licenses/by/3.0/au/" TargetMode="External"/><Relationship Id="rId39" Type="http://schemas.openxmlformats.org/officeDocument/2006/relationships/hyperlink" Target="http://www.bioregionalassessments.gov.au/assessments/23-conceptual-modelling-maranoa-balonne-condamine-subregion" TargetMode="External"/><Relationship Id="rId109" Type="http://schemas.openxmlformats.org/officeDocument/2006/relationships/hyperlink" Target="http://www.bom.gov.au/water/groundwater/gde/GDEAtlas_final_17072012.pdf" TargetMode="External"/><Relationship Id="rId34" Type="http://schemas.openxmlformats.org/officeDocument/2006/relationships/image" Target="media/image7.jpeg"/><Relationship Id="rId50" Type="http://schemas.openxmlformats.org/officeDocument/2006/relationships/footer" Target="footer7.xml"/><Relationship Id="rId55" Type="http://schemas.openxmlformats.org/officeDocument/2006/relationships/image" Target="media/image18.jpeg"/><Relationship Id="rId76" Type="http://schemas.openxmlformats.org/officeDocument/2006/relationships/hyperlink" Target="https://www.ehp.qld.gov.au/" TargetMode="External"/><Relationship Id="rId97" Type="http://schemas.openxmlformats.org/officeDocument/2006/relationships/hyperlink" Target="http://www.environment.gov.au/epbc/what-is-protected/water-resources" TargetMode="External"/><Relationship Id="rId104" Type="http://schemas.openxmlformats.org/officeDocument/2006/relationships/hyperlink" Target="https://www.nccarf.edu.au/sites/default/files/attached_files_publications/Nugent_2013_Adapting_to_climate_change_Supporting_Document_1.pdf" TargetMode="External"/><Relationship Id="rId120" Type="http://schemas.openxmlformats.org/officeDocument/2006/relationships/hyperlink" Target="https://data.gov.au/dataset/australian-groundwater-flow-systems-national-land-and-water-resources-audit-january-2000" TargetMode="External"/><Relationship Id="rId125" Type="http://schemas.openxmlformats.org/officeDocument/2006/relationships/hyperlink" Target="http://www.npsi.gov.au/files/pn22591/Appendix%205%20Ecohydrological%20classification%20of%20Australias%20flow%20regimes.pdf" TargetMode="External"/><Relationship Id="rId141" Type="http://schemas.openxmlformats.org/officeDocument/2006/relationships/hyperlink" Target="https://data.qld.gov.au/dataset/queensland-spring-database" TargetMode="External"/><Relationship Id="rId146" Type="http://schemas.openxmlformats.org/officeDocument/2006/relationships/hyperlink" Target="https://water-monitoring.information.qld.gov.au/" TargetMode="External"/><Relationship Id="rId167" Type="http://schemas.openxmlformats.org/officeDocument/2006/relationships/hyperlink" Target="http://www.water.wa.gov.au/maps-and-data/maps/perth-groundwater-atlas" TargetMode="External"/><Relationship Id="rId7" Type="http://schemas.openxmlformats.org/officeDocument/2006/relationships/header" Target="header1.xml"/><Relationship Id="rId71" Type="http://schemas.openxmlformats.org/officeDocument/2006/relationships/image" Target="media/image29.jpeg"/><Relationship Id="rId92" Type="http://schemas.openxmlformats.org/officeDocument/2006/relationships/hyperlink" Target="http://www.water.nsw.gov.au/__data/assets/pdf_file/0004/549175/nsw_aquifer_interference_policy.pdf" TargetMode="External"/><Relationship Id="rId162" Type="http://schemas.openxmlformats.org/officeDocument/2006/relationships/hyperlink" Target="https://data.gov.au/dataset/fc35d75a-f12e-494b-a7d3-0f27e7159b05" TargetMode="External"/><Relationship Id="rId2" Type="http://schemas.openxmlformats.org/officeDocument/2006/relationships/styles" Target="styles.xml"/><Relationship Id="rId29" Type="http://schemas.openxmlformats.org/officeDocument/2006/relationships/hyperlink" Target="http://www.bom.gov.au/water/groundwater/gde/index.shtml" TargetMode="External"/><Relationship Id="rId24" Type="http://schemas.openxmlformats.org/officeDocument/2006/relationships/image" Target="media/image3.jpeg"/><Relationship Id="rId40" Type="http://schemas.openxmlformats.org/officeDocument/2006/relationships/image" Target="media/image12.tiff"/><Relationship Id="rId45" Type="http://schemas.openxmlformats.org/officeDocument/2006/relationships/hyperlink" Target="http://www.bom.gov.au/water/groundwater/gde/GDEToolbox_PartTwo_Assessment-Tools.pdf" TargetMode="External"/><Relationship Id="rId66" Type="http://schemas.openxmlformats.org/officeDocument/2006/relationships/image" Target="media/image24.jpeg"/><Relationship Id="rId87" Type="http://schemas.openxmlformats.org/officeDocument/2006/relationships/image" Target="media/image42.jpeg"/><Relationship Id="rId110" Type="http://schemas.openxmlformats.org/officeDocument/2006/relationships/hyperlink" Target="https://www.dpaw.wa.gov.au/images/documents/about/science/pubs/infosheets/sdis003.pdf" TargetMode="External"/><Relationship Id="rId115" Type="http://schemas.openxmlformats.org/officeDocument/2006/relationships/hyperlink" Target="https://consultation.epa.wa.gov.au/seven-day-comment-on-referrals/iron-valley-below-water-table-project/supporting_documents/CMS15277%20%20App%20E%20Pt%201%20Potential%20Impacts%20to%20Aquatic%20Systems%20Final%20Report%20Literature%20Review.pdf" TargetMode="External"/><Relationship Id="rId131" Type="http://schemas.openxmlformats.org/officeDocument/2006/relationships/hyperlink" Target="https://data.csiro.au/dap/landingpage?pid=csiro:14572" TargetMode="External"/><Relationship Id="rId136" Type="http://schemas.openxmlformats.org/officeDocument/2006/relationships/hyperlink" Target="https://www.aswm.org/wetland-science/wetlands-one-stop-mapping/5315-national-wetlands-inventory-nwi" TargetMode="External"/><Relationship Id="rId157" Type="http://schemas.openxmlformats.org/officeDocument/2006/relationships/hyperlink" Target="https://www.data.vic.gov.au/data/dataset/potential-groundwater-dependent-ecosystem-gde-species-tolerance-grid" TargetMode="External"/><Relationship Id="rId61" Type="http://schemas.openxmlformats.org/officeDocument/2006/relationships/image" Target="media/image19.png"/><Relationship Id="rId82" Type="http://schemas.openxmlformats.org/officeDocument/2006/relationships/image" Target="media/image38.jpeg"/><Relationship Id="rId152" Type="http://schemas.openxmlformats.org/officeDocument/2006/relationships/hyperlink" Target="http://www.water.nsw.gov.au/water-management/water-quality/groundwater" TargetMode="External"/><Relationship Id="rId173" Type="http://schemas.openxmlformats.org/officeDocument/2006/relationships/hyperlink" Target="https://wetlandinfo.ehp.qld.gov.au/wetlands/resources/tools/assessment-search-tool/8/index.html" TargetMode="External"/><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hyperlink" Target="https://wetlandinfo.ehp.qld.gov.au/wetlands/facts-maps/gde-background/gde-faq/index.html" TargetMode="External"/><Relationship Id="rId35" Type="http://schemas.openxmlformats.org/officeDocument/2006/relationships/image" Target="media/image8.jpeg"/><Relationship Id="rId56" Type="http://schemas.openxmlformats.org/officeDocument/2006/relationships/hyperlink" Target="https://www.dpaw.wa.gov.au/management/wetlands/mapping-and-monitoring?showall=1" TargetMode="External"/><Relationship Id="rId77" Type="http://schemas.openxmlformats.org/officeDocument/2006/relationships/hyperlink" Target="https://www.dpi.nsw.gov.au/" TargetMode="External"/><Relationship Id="rId100" Type="http://schemas.openxmlformats.org/officeDocument/2006/relationships/hyperlink" Target="https://library.dbca.wa.gov.au/static/FullTextFiles/018743.pdf" TargetMode="External"/><Relationship Id="rId105" Type="http://schemas.openxmlformats.org/officeDocument/2006/relationships/hyperlink" Target="http://www.agriculture.gov.au/water/policy/nwi" TargetMode="External"/><Relationship Id="rId126" Type="http://schemas.openxmlformats.org/officeDocument/2006/relationships/hyperlink" Target="http://www.ga.gov.au/interactive-maps/" TargetMode="External"/><Relationship Id="rId147" Type="http://schemas.openxmlformats.org/officeDocument/2006/relationships/hyperlink" Target="https://www.water.nsw.gov.au/water-management/water-availability/risk-assessment/groundwater-dependent-ecosystems" TargetMode="External"/><Relationship Id="rId168" Type="http://schemas.openxmlformats.org/officeDocument/2006/relationships/hyperlink" Target="https://denr.nt.gov.au/__data/assets/pdf_file/0011/254576/afightforflow-gdes_berrysprings.pdf" TargetMode="External"/><Relationship Id="rId8" Type="http://schemas.openxmlformats.org/officeDocument/2006/relationships/header" Target="header2.xml"/><Relationship Id="rId51" Type="http://schemas.openxmlformats.org/officeDocument/2006/relationships/header" Target="header12.xml"/><Relationship Id="rId72" Type="http://schemas.openxmlformats.org/officeDocument/2006/relationships/image" Target="media/image30.jpeg"/><Relationship Id="rId93" Type="http://schemas.openxmlformats.org/officeDocument/2006/relationships/hyperlink" Target="https://publications.qld.gov.au/dataset/subterranean-aquatic-fauna/resource/ba880910-5117-433a-b90d-2c131874a8e6" TargetMode="External"/><Relationship Id="rId98" Type="http://schemas.openxmlformats.org/officeDocument/2006/relationships/hyperlink" Target="http://eisdocs.dsdip.qld.gov.au/Carmichael%20Coal%20Mine%20and%20Rail/AEIS/mine-environmental-management-plan-032014.pdf" TargetMode="External"/><Relationship Id="rId121" Type="http://schemas.openxmlformats.org/officeDocument/2006/relationships/hyperlink" Target="http://www.bom.gov.au/waterdata/" TargetMode="External"/><Relationship Id="rId142" Type="http://schemas.openxmlformats.org/officeDocument/2006/relationships/hyperlink" Target="https://data.gov.au/dataset/075cdc0a-382e-4040-9a70-fcd85a2da5d5" TargetMode="External"/><Relationship Id="rId163" Type="http://schemas.openxmlformats.org/officeDocument/2006/relationships/hyperlink" Target="file:///C:\Users\doo022\Downloads\AWMSGAB-Volume-V.pdf" TargetMode="External"/><Relationship Id="rId3" Type="http://schemas.openxmlformats.org/officeDocument/2006/relationships/settings" Target="settings.xml"/><Relationship Id="rId25" Type="http://schemas.openxmlformats.org/officeDocument/2006/relationships/hyperlink" Target="http://www.iesc.environment.gov.au/publications/information-guidelines-independent-expert-scientific-committee-advice-coal-seam-gas" TargetMode="External"/><Relationship Id="rId46" Type="http://schemas.openxmlformats.org/officeDocument/2006/relationships/image" Target="media/image16.jpeg"/><Relationship Id="rId67" Type="http://schemas.openxmlformats.org/officeDocument/2006/relationships/image" Target="media/image25.jpeg"/><Relationship Id="rId116" Type="http://schemas.openxmlformats.org/officeDocument/2006/relationships/hyperlink" Target="http://www.bom.gov.au/water/groundwater/gde/" TargetMode="External"/><Relationship Id="rId137" Type="http://schemas.openxmlformats.org/officeDocument/2006/relationships/hyperlink" Target="http://www.environment.gov.au/about-us/environmental-information-data/databases-applications" TargetMode="External"/><Relationship Id="rId158" Type="http://schemas.openxmlformats.org/officeDocument/2006/relationships/hyperlink" Target="http://www.vvg.org.au/" TargetMode="External"/><Relationship Id="rId20" Type="http://schemas.openxmlformats.org/officeDocument/2006/relationships/header" Target="header8.xml"/><Relationship Id="rId41" Type="http://schemas.openxmlformats.org/officeDocument/2006/relationships/image" Target="media/image13.jpeg"/><Relationship Id="rId62" Type="http://schemas.openxmlformats.org/officeDocument/2006/relationships/image" Target="media/image20.jpeg"/><Relationship Id="rId83" Type="http://schemas.openxmlformats.org/officeDocument/2006/relationships/image" Target="media/image39.jpeg"/><Relationship Id="rId88" Type="http://schemas.openxmlformats.org/officeDocument/2006/relationships/image" Target="media/image43.jpeg"/><Relationship Id="rId111" Type="http://schemas.openxmlformats.org/officeDocument/2006/relationships/hyperlink" Target="https://www.legislation.gov.au/Series/C2007A00137" TargetMode="External"/><Relationship Id="rId132" Type="http://schemas.openxmlformats.org/officeDocument/2006/relationships/hyperlink" Target="http://www.agriculture.gov.au/abares/aclump" TargetMode="External"/><Relationship Id="rId153" Type="http://schemas.openxmlformats.org/officeDocument/2006/relationships/hyperlink" Target="https://www.data.vic.gov.au/data/dataset/victorian-wetland-inventory-current" TargetMode="External"/><Relationship Id="rId174"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image" Target="media/image9.jpeg"/><Relationship Id="rId57" Type="http://schemas.openxmlformats.org/officeDocument/2006/relationships/hyperlink" Target="https://data.qld.gov.au/dataset/groundwater-database-queensland" TargetMode="External"/><Relationship Id="rId106" Type="http://schemas.openxmlformats.org/officeDocument/2006/relationships/hyperlink" Target="http://www.bom.gov.au/water/groundwater/gde/GDEToolbox_PartOne_Assessment-Framework.pdf" TargetMode="External"/><Relationship Id="rId127" Type="http://schemas.openxmlformats.org/officeDocument/2006/relationships/hyperlink" Target="http://www.bom.gov.au/waterdat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9CE6F2A6.dotm</Template>
  <TotalTime>1</TotalTime>
  <Pages>76</Pages>
  <Words>28023</Words>
  <Characters>180392</Characters>
  <Application>Microsoft Office Word</Application>
  <DocSecurity>0</DocSecurity>
  <Lines>1503</Lines>
  <Paragraphs>415</Paragraphs>
  <ScaleCrop>false</ScaleCrop>
  <HeadingPairs>
    <vt:vector size="2" baseType="variant">
      <vt:variant>
        <vt:lpstr>Title</vt:lpstr>
      </vt:variant>
      <vt:variant>
        <vt:i4>1</vt:i4>
      </vt:variant>
    </vt:vector>
  </HeadingPairs>
  <TitlesOfParts>
    <vt:vector size="1" baseType="lpstr">
      <vt:lpstr>Consultation on Assessing Groundwater-Dependent Ecosystems: IESC Information Guidelines Explanatory Note</vt:lpstr>
    </vt:vector>
  </TitlesOfParts>
  <Company/>
  <LinksUpToDate>false</LinksUpToDate>
  <CharactersWithSpaces>208000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Assessing Groundwater-Dependent Ecosystems: IESC Information Guidelines Explanatory Note</dc:title>
  <dc:subject/>
  <dc:creator>IESC</dc:creator>
  <cp:keywords/>
  <dc:description/>
  <cp:lastModifiedBy>Bec Durack</cp:lastModifiedBy>
  <cp:revision>2</cp:revision>
  <cp:lastPrinted>2018-11-08T05:13:00Z</cp:lastPrinted>
  <dcterms:created xsi:type="dcterms:W3CDTF">2018-11-09T03:03:00Z</dcterms:created>
  <dcterms:modified xsi:type="dcterms:W3CDTF">2018-11-09T03:03:00Z</dcterms:modified>
  <cp:category/>
</cp:coreProperties>
</file>