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8EC5" w14:textId="0F1D52F0" w:rsidR="00751662" w:rsidRPr="00170D0A" w:rsidRDefault="00170D0A" w:rsidP="00751662">
      <w:pPr>
        <w:pStyle w:val="Title"/>
        <w:rPr>
          <w:sz w:val="36"/>
          <w:szCs w:val="36"/>
        </w:rPr>
      </w:pPr>
      <w:proofErr w:type="spellStart"/>
      <w:r w:rsidRPr="00170D0A">
        <w:rPr>
          <w:sz w:val="36"/>
          <w:szCs w:val="36"/>
        </w:rPr>
        <w:t>Characterisation</w:t>
      </w:r>
      <w:proofErr w:type="spellEnd"/>
      <w:r w:rsidRPr="00170D0A">
        <w:rPr>
          <w:sz w:val="36"/>
          <w:szCs w:val="36"/>
        </w:rPr>
        <w:t xml:space="preserve"> and modelling of </w:t>
      </w:r>
      <w:r w:rsidR="00D7358E">
        <w:rPr>
          <w:sz w:val="36"/>
          <w:szCs w:val="36"/>
        </w:rPr>
        <w:t>g</w:t>
      </w:r>
      <w:r w:rsidRPr="00170D0A">
        <w:rPr>
          <w:sz w:val="36"/>
          <w:szCs w:val="36"/>
        </w:rPr>
        <w:t xml:space="preserve">eological </w:t>
      </w:r>
      <w:r w:rsidR="00D7358E">
        <w:rPr>
          <w:sz w:val="36"/>
          <w:szCs w:val="36"/>
        </w:rPr>
        <w:t>f</w:t>
      </w:r>
      <w:r w:rsidRPr="00170D0A">
        <w:rPr>
          <w:sz w:val="36"/>
          <w:szCs w:val="36"/>
        </w:rPr>
        <w:t xml:space="preserve">ault </w:t>
      </w:r>
      <w:r w:rsidR="00D7358E">
        <w:rPr>
          <w:sz w:val="36"/>
          <w:szCs w:val="36"/>
        </w:rPr>
        <w:t>z</w:t>
      </w:r>
      <w:r w:rsidRPr="00170D0A">
        <w:rPr>
          <w:sz w:val="36"/>
          <w:szCs w:val="36"/>
        </w:rPr>
        <w:t>ones</w:t>
      </w:r>
    </w:p>
    <w:p w14:paraId="69EFEB70" w14:textId="77777777" w:rsidR="00751662" w:rsidRPr="00170D0A" w:rsidRDefault="00751662" w:rsidP="00751662">
      <w:pPr>
        <w:pStyle w:val="Heading1"/>
        <w:sectPr w:rsidR="00751662" w:rsidRPr="00170D0A" w:rsidSect="007814E8">
          <w:headerReference w:type="even" r:id="rId13"/>
          <w:headerReference w:type="default" r:id="rId14"/>
          <w:footerReference w:type="default" r:id="rId15"/>
          <w:headerReference w:type="first" r:id="rId16"/>
          <w:footerReference w:type="first" r:id="rId17"/>
          <w:pgSz w:w="11900" w:h="16840"/>
          <w:pgMar w:top="4489" w:right="1128" w:bottom="1871" w:left="1701" w:header="0" w:footer="182" w:gutter="0"/>
          <w:cols w:space="708"/>
          <w:titlePg/>
          <w:docGrid w:linePitch="360"/>
        </w:sectPr>
      </w:pPr>
    </w:p>
    <w:p w14:paraId="342819A8" w14:textId="77777777" w:rsidR="00751662" w:rsidRPr="001C09A0" w:rsidRDefault="00751662" w:rsidP="00751662">
      <w:pPr>
        <w:pStyle w:val="Heading1"/>
        <w:spacing w:before="240"/>
      </w:pPr>
      <w:r w:rsidRPr="001C09A0">
        <w:t>Background</w:t>
      </w:r>
    </w:p>
    <w:p w14:paraId="62F3461C" w14:textId="4CB2A1AF" w:rsidR="004130E8" w:rsidRPr="004130E8" w:rsidRDefault="004130E8" w:rsidP="004130E8">
      <w:pPr>
        <w:rPr>
          <w:sz w:val="20"/>
          <w:szCs w:val="20"/>
          <w:lang w:val="en-US"/>
        </w:rPr>
      </w:pPr>
      <w:r w:rsidRPr="004130E8">
        <w:rPr>
          <w:sz w:val="20"/>
          <w:szCs w:val="20"/>
          <w:lang w:val="en-US"/>
        </w:rPr>
        <w:t xml:space="preserve">Geological faults are displacements within otherwise intact rock material that can form </w:t>
      </w:r>
      <w:r w:rsidR="003A4E09">
        <w:rPr>
          <w:sz w:val="20"/>
          <w:szCs w:val="20"/>
          <w:lang w:val="en-US"/>
        </w:rPr>
        <w:t xml:space="preserve">flow </w:t>
      </w:r>
      <w:r w:rsidRPr="004130E8">
        <w:rPr>
          <w:sz w:val="20"/>
          <w:szCs w:val="20"/>
          <w:lang w:val="en-US"/>
        </w:rPr>
        <w:t>barrier</w:t>
      </w:r>
      <w:r w:rsidR="00C02F77">
        <w:rPr>
          <w:sz w:val="20"/>
          <w:szCs w:val="20"/>
          <w:lang w:val="en-US"/>
        </w:rPr>
        <w:t>s</w:t>
      </w:r>
      <w:r w:rsidR="003521D1">
        <w:rPr>
          <w:sz w:val="20"/>
          <w:szCs w:val="20"/>
          <w:lang w:val="en-US"/>
        </w:rPr>
        <w:t>,</w:t>
      </w:r>
      <w:r w:rsidR="00C02F77">
        <w:rPr>
          <w:sz w:val="20"/>
          <w:szCs w:val="20"/>
          <w:lang w:val="en-US"/>
        </w:rPr>
        <w:t xml:space="preserve"> </w:t>
      </w:r>
      <w:r w:rsidRPr="004130E8">
        <w:rPr>
          <w:sz w:val="20"/>
          <w:szCs w:val="20"/>
          <w:lang w:val="en-US"/>
        </w:rPr>
        <w:t>preferential flow path</w:t>
      </w:r>
      <w:r w:rsidR="00C02F77">
        <w:rPr>
          <w:sz w:val="20"/>
          <w:szCs w:val="20"/>
          <w:lang w:val="en-US"/>
        </w:rPr>
        <w:t>s</w:t>
      </w:r>
      <w:r w:rsidR="00492266">
        <w:rPr>
          <w:sz w:val="20"/>
          <w:szCs w:val="20"/>
          <w:lang w:val="en-US"/>
        </w:rPr>
        <w:t xml:space="preserve">, </w:t>
      </w:r>
      <w:r w:rsidR="003521D1">
        <w:rPr>
          <w:sz w:val="20"/>
          <w:szCs w:val="20"/>
          <w:lang w:val="en-US"/>
        </w:rPr>
        <w:t xml:space="preserve">or </w:t>
      </w:r>
      <w:r w:rsidR="002A45C1">
        <w:rPr>
          <w:sz w:val="20"/>
          <w:szCs w:val="20"/>
          <w:lang w:val="en-US"/>
        </w:rPr>
        <w:t>both</w:t>
      </w:r>
      <w:r w:rsidR="00690D3C">
        <w:rPr>
          <w:sz w:val="20"/>
          <w:szCs w:val="20"/>
          <w:lang w:val="en-US"/>
        </w:rPr>
        <w:t xml:space="preserve"> conduits and barriers</w:t>
      </w:r>
      <w:r w:rsidRPr="004130E8">
        <w:rPr>
          <w:sz w:val="20"/>
          <w:szCs w:val="20"/>
          <w:lang w:val="en-US"/>
        </w:rPr>
        <w:t xml:space="preserve">. </w:t>
      </w:r>
      <w:r w:rsidR="00DA4192">
        <w:rPr>
          <w:sz w:val="20"/>
          <w:szCs w:val="20"/>
          <w:lang w:val="en-US"/>
        </w:rPr>
        <w:t xml:space="preserve">Importantly, </w:t>
      </w:r>
      <w:r w:rsidR="004828DD">
        <w:rPr>
          <w:sz w:val="20"/>
          <w:szCs w:val="20"/>
          <w:lang w:val="en-US"/>
        </w:rPr>
        <w:t>the same</w:t>
      </w:r>
      <w:r w:rsidRPr="004130E8">
        <w:rPr>
          <w:sz w:val="20"/>
          <w:szCs w:val="20"/>
          <w:lang w:val="en-US"/>
        </w:rPr>
        <w:t xml:space="preserve"> fault may be a barrier </w:t>
      </w:r>
      <w:r w:rsidR="004828DD">
        <w:rPr>
          <w:sz w:val="20"/>
          <w:szCs w:val="20"/>
          <w:lang w:val="en-US"/>
        </w:rPr>
        <w:t>and</w:t>
      </w:r>
      <w:r w:rsidRPr="004130E8">
        <w:rPr>
          <w:sz w:val="20"/>
          <w:szCs w:val="20"/>
          <w:lang w:val="en-US"/>
        </w:rPr>
        <w:t xml:space="preserve"> a conduit, </w:t>
      </w:r>
      <w:r w:rsidR="003136F7">
        <w:rPr>
          <w:sz w:val="20"/>
          <w:szCs w:val="20"/>
          <w:lang w:val="en-US"/>
        </w:rPr>
        <w:t xml:space="preserve">with variations that depend on location along the fault and </w:t>
      </w:r>
      <w:r w:rsidR="00AC66AD">
        <w:rPr>
          <w:sz w:val="20"/>
          <w:szCs w:val="20"/>
          <w:lang w:val="en-US"/>
        </w:rPr>
        <w:t>could alter over time</w:t>
      </w:r>
      <w:r w:rsidR="003136F7">
        <w:rPr>
          <w:sz w:val="20"/>
          <w:szCs w:val="20"/>
          <w:lang w:val="en-US"/>
        </w:rPr>
        <w:t>.</w:t>
      </w:r>
    </w:p>
    <w:p w14:paraId="11A4E077" w14:textId="508B28E5" w:rsidR="004130E8" w:rsidRPr="00251E45" w:rsidRDefault="004130E8" w:rsidP="00751662">
      <w:pPr>
        <w:rPr>
          <w:sz w:val="20"/>
          <w:szCs w:val="20"/>
          <w:lang w:val="en-US"/>
        </w:rPr>
      </w:pPr>
    </w:p>
    <w:p w14:paraId="0FB1BE2D" w14:textId="1DFBB5CD" w:rsidR="00251E45" w:rsidRDefault="00251E45" w:rsidP="00251E45">
      <w:pPr>
        <w:rPr>
          <w:sz w:val="20"/>
          <w:szCs w:val="20"/>
          <w:lang w:val="en-US"/>
        </w:rPr>
      </w:pPr>
      <w:r w:rsidRPr="00251E45">
        <w:rPr>
          <w:sz w:val="20"/>
          <w:szCs w:val="20"/>
          <w:lang w:val="en-US"/>
        </w:rPr>
        <w:t xml:space="preserve">Changes to surface and groundwater </w:t>
      </w:r>
      <w:r w:rsidR="00DA4192">
        <w:rPr>
          <w:sz w:val="20"/>
          <w:szCs w:val="20"/>
          <w:lang w:val="en-US"/>
        </w:rPr>
        <w:t xml:space="preserve">systems </w:t>
      </w:r>
      <w:r w:rsidRPr="00251E45">
        <w:rPr>
          <w:sz w:val="20"/>
          <w:szCs w:val="20"/>
          <w:lang w:val="en-US"/>
        </w:rPr>
        <w:t xml:space="preserve">that occur during coal seam gas (CSG) and large coal mining (LCM) </w:t>
      </w:r>
      <w:r w:rsidR="00DA4192">
        <w:rPr>
          <w:sz w:val="20"/>
          <w:szCs w:val="20"/>
          <w:lang w:val="en-US"/>
        </w:rPr>
        <w:t>projects</w:t>
      </w:r>
      <w:r w:rsidRPr="00251E45">
        <w:rPr>
          <w:sz w:val="20"/>
          <w:szCs w:val="20"/>
          <w:lang w:val="en-US"/>
        </w:rPr>
        <w:t xml:space="preserve"> can </w:t>
      </w:r>
      <w:r w:rsidR="00626CB5">
        <w:rPr>
          <w:sz w:val="20"/>
          <w:szCs w:val="20"/>
          <w:lang w:val="en-US"/>
        </w:rPr>
        <w:t>depressurize coal seams or excavations</w:t>
      </w:r>
      <w:r w:rsidR="006B4A29">
        <w:rPr>
          <w:sz w:val="20"/>
          <w:szCs w:val="20"/>
          <w:lang w:val="en-US"/>
        </w:rPr>
        <w:t>,</w:t>
      </w:r>
      <w:r w:rsidR="00626CB5">
        <w:rPr>
          <w:sz w:val="20"/>
          <w:szCs w:val="20"/>
          <w:lang w:val="en-US"/>
        </w:rPr>
        <w:t xml:space="preserve"> and </w:t>
      </w:r>
      <w:r w:rsidR="00DA4192">
        <w:rPr>
          <w:sz w:val="20"/>
          <w:szCs w:val="20"/>
          <w:lang w:val="en-US"/>
        </w:rPr>
        <w:t xml:space="preserve">create or </w:t>
      </w:r>
      <w:r w:rsidRPr="00251E45">
        <w:rPr>
          <w:sz w:val="20"/>
          <w:szCs w:val="20"/>
          <w:lang w:val="en-US"/>
        </w:rPr>
        <w:t xml:space="preserve">alter </w:t>
      </w:r>
      <w:r w:rsidR="00DA4192">
        <w:rPr>
          <w:sz w:val="20"/>
          <w:szCs w:val="20"/>
          <w:lang w:val="en-US"/>
        </w:rPr>
        <w:t xml:space="preserve">flow </w:t>
      </w:r>
      <w:r w:rsidRPr="00251E45">
        <w:rPr>
          <w:sz w:val="20"/>
          <w:szCs w:val="20"/>
          <w:lang w:val="en-US"/>
        </w:rPr>
        <w:t xml:space="preserve">connections between the </w:t>
      </w:r>
      <w:r w:rsidR="00BA7AF1">
        <w:rPr>
          <w:sz w:val="20"/>
          <w:szCs w:val="20"/>
          <w:lang w:val="en-US"/>
        </w:rPr>
        <w:t xml:space="preserve">project </w:t>
      </w:r>
      <w:r w:rsidRPr="00251E45">
        <w:rPr>
          <w:sz w:val="20"/>
          <w:szCs w:val="20"/>
          <w:lang w:val="en-US"/>
        </w:rPr>
        <w:t>site and key water assets</w:t>
      </w:r>
      <w:r w:rsidR="006B4A29">
        <w:rPr>
          <w:sz w:val="20"/>
          <w:szCs w:val="20"/>
          <w:lang w:val="en-US"/>
        </w:rPr>
        <w:t xml:space="preserve"> (i.e.</w:t>
      </w:r>
      <w:r w:rsidRPr="00251E45">
        <w:rPr>
          <w:sz w:val="20"/>
          <w:szCs w:val="20"/>
          <w:lang w:val="en-US"/>
        </w:rPr>
        <w:t xml:space="preserve"> such as aquifers and groundwater-dependent ecosystems (GDEs)</w:t>
      </w:r>
      <w:r w:rsidR="006B4A29">
        <w:rPr>
          <w:sz w:val="20"/>
          <w:szCs w:val="20"/>
          <w:lang w:val="en-US"/>
        </w:rPr>
        <w:t>)</w:t>
      </w:r>
      <w:r w:rsidRPr="00251E45">
        <w:rPr>
          <w:sz w:val="20"/>
          <w:szCs w:val="20"/>
          <w:lang w:val="en-US"/>
        </w:rPr>
        <w:t>.</w:t>
      </w:r>
      <w:r w:rsidR="00DA4192" w:rsidRPr="00DA4192">
        <w:rPr>
          <w:sz w:val="20"/>
          <w:szCs w:val="20"/>
          <w:lang w:val="en-US"/>
        </w:rPr>
        <w:t xml:space="preserve"> </w:t>
      </w:r>
      <w:proofErr w:type="spellStart"/>
      <w:r w:rsidR="00DA4192" w:rsidRPr="00DA4192">
        <w:rPr>
          <w:sz w:val="20"/>
          <w:szCs w:val="20"/>
          <w:lang w:val="en-US"/>
        </w:rPr>
        <w:t>Characterising</w:t>
      </w:r>
      <w:proofErr w:type="spellEnd"/>
      <w:r w:rsidR="00DA4192" w:rsidRPr="00DA4192">
        <w:rPr>
          <w:sz w:val="20"/>
          <w:szCs w:val="20"/>
          <w:lang w:val="en-US"/>
        </w:rPr>
        <w:t xml:space="preserve"> faults within and near </w:t>
      </w:r>
      <w:r w:rsidR="00BA7AF1">
        <w:rPr>
          <w:sz w:val="20"/>
          <w:szCs w:val="20"/>
          <w:lang w:val="en-US"/>
        </w:rPr>
        <w:t xml:space="preserve">project </w:t>
      </w:r>
      <w:r w:rsidR="00DA4192" w:rsidRPr="00DA4192">
        <w:rPr>
          <w:sz w:val="20"/>
          <w:szCs w:val="20"/>
          <w:lang w:val="en-US"/>
        </w:rPr>
        <w:t xml:space="preserve">developments allows </w:t>
      </w:r>
      <w:r w:rsidR="00DA4192">
        <w:rPr>
          <w:sz w:val="20"/>
          <w:szCs w:val="20"/>
          <w:lang w:val="en-US"/>
        </w:rPr>
        <w:t xml:space="preserve">the </w:t>
      </w:r>
      <w:r w:rsidR="00DA4192" w:rsidRPr="00DA4192">
        <w:rPr>
          <w:sz w:val="20"/>
          <w:szCs w:val="20"/>
          <w:lang w:val="en-US"/>
        </w:rPr>
        <w:t>risks to be assessed and managed.</w:t>
      </w:r>
    </w:p>
    <w:p w14:paraId="284224BA" w14:textId="0C87B4FC" w:rsidR="00DA4192" w:rsidRDefault="00DA4192" w:rsidP="00251E45">
      <w:pPr>
        <w:rPr>
          <w:sz w:val="20"/>
          <w:szCs w:val="20"/>
          <w:lang w:val="en-US"/>
        </w:rPr>
      </w:pPr>
    </w:p>
    <w:p w14:paraId="4D36F0FA" w14:textId="25A222FE" w:rsidR="00DA4192" w:rsidRPr="00251E45" w:rsidRDefault="009E3286" w:rsidP="00251E45">
      <w:pPr>
        <w:rPr>
          <w:sz w:val="20"/>
          <w:szCs w:val="20"/>
          <w:lang w:val="en-US"/>
        </w:rPr>
      </w:pPr>
      <w:r w:rsidRPr="001C09A0">
        <w:rPr>
          <w:sz w:val="20"/>
          <w:szCs w:val="20"/>
          <w:lang w:val="en-US"/>
        </w:rPr>
        <w:t>In some cases, geological, hydrogeological and ecological assessments indicate that risks to assets from the proposed development</w:t>
      </w:r>
      <w:r w:rsidR="00D7358E">
        <w:rPr>
          <w:sz w:val="20"/>
          <w:szCs w:val="20"/>
          <w:lang w:val="en-US"/>
        </w:rPr>
        <w:t xml:space="preserve"> </w:t>
      </w:r>
      <w:r w:rsidR="004828DD">
        <w:rPr>
          <w:sz w:val="20"/>
          <w:szCs w:val="20"/>
          <w:lang w:val="en-US"/>
        </w:rPr>
        <w:t xml:space="preserve">(in relation to faults) </w:t>
      </w:r>
      <w:r w:rsidR="00D7358E">
        <w:rPr>
          <w:sz w:val="20"/>
          <w:szCs w:val="20"/>
          <w:lang w:val="en-US"/>
        </w:rPr>
        <w:t>are</w:t>
      </w:r>
      <w:r w:rsidRPr="001C09A0">
        <w:rPr>
          <w:sz w:val="20"/>
          <w:szCs w:val="20"/>
          <w:lang w:val="en-US"/>
        </w:rPr>
        <w:t xml:space="preserve"> </w:t>
      </w:r>
      <w:r w:rsidR="00D7358E">
        <w:rPr>
          <w:sz w:val="20"/>
          <w:szCs w:val="20"/>
          <w:lang w:val="en-US"/>
        </w:rPr>
        <w:t>minimal</w:t>
      </w:r>
      <w:r w:rsidRPr="001C09A0">
        <w:rPr>
          <w:sz w:val="20"/>
          <w:szCs w:val="20"/>
          <w:lang w:val="en-US"/>
        </w:rPr>
        <w:t xml:space="preserve"> or at an acceptable level. However, in other cases, assessments may indicate that the proposal is likely to significantly alter</w:t>
      </w:r>
      <w:r w:rsidR="00097CA9">
        <w:rPr>
          <w:sz w:val="20"/>
          <w:szCs w:val="20"/>
          <w:lang w:val="en-US"/>
        </w:rPr>
        <w:t xml:space="preserve"> areas</w:t>
      </w:r>
      <w:r w:rsidRPr="001C09A0">
        <w:rPr>
          <w:sz w:val="20"/>
          <w:szCs w:val="20"/>
          <w:lang w:val="en-US"/>
        </w:rPr>
        <w:t xml:space="preserve"> from their pre-developed state</w:t>
      </w:r>
      <w:r w:rsidR="001C09A0" w:rsidRPr="001C09A0">
        <w:rPr>
          <w:sz w:val="20"/>
          <w:szCs w:val="20"/>
          <w:lang w:val="en-US"/>
        </w:rPr>
        <w:t xml:space="preserve"> – sometimes disruptions to hydrology and associated GDEs may be</w:t>
      </w:r>
      <w:r w:rsidRPr="001C09A0">
        <w:rPr>
          <w:sz w:val="20"/>
          <w:szCs w:val="20"/>
          <w:lang w:val="en-US"/>
        </w:rPr>
        <w:t xml:space="preserve"> permanent, </w:t>
      </w:r>
      <w:r w:rsidR="000802C6">
        <w:rPr>
          <w:sz w:val="20"/>
          <w:szCs w:val="20"/>
          <w:lang w:val="en-US"/>
        </w:rPr>
        <w:t xml:space="preserve">particularly in shallow perched aquifers, </w:t>
      </w:r>
      <w:r w:rsidRPr="001C09A0">
        <w:rPr>
          <w:sz w:val="20"/>
          <w:szCs w:val="20"/>
          <w:lang w:val="en-US"/>
        </w:rPr>
        <w:t>or persist long after a project</w:t>
      </w:r>
      <w:r w:rsidR="00D7358E">
        <w:rPr>
          <w:sz w:val="20"/>
          <w:szCs w:val="20"/>
          <w:lang w:val="en-US"/>
        </w:rPr>
        <w:t>’</w:t>
      </w:r>
      <w:r w:rsidRPr="001C09A0">
        <w:rPr>
          <w:sz w:val="20"/>
          <w:szCs w:val="20"/>
          <w:lang w:val="en-US"/>
        </w:rPr>
        <w:t>s closure and rehabilitation.</w:t>
      </w:r>
    </w:p>
    <w:p w14:paraId="229182EC" w14:textId="4A0F8CE9" w:rsidR="00251E45" w:rsidRDefault="00251E45" w:rsidP="00751662">
      <w:pPr>
        <w:rPr>
          <w:sz w:val="20"/>
          <w:szCs w:val="20"/>
          <w:lang w:val="en-US"/>
        </w:rPr>
      </w:pPr>
    </w:p>
    <w:p w14:paraId="0B31695D" w14:textId="77777777" w:rsidR="00751662" w:rsidRPr="00AB7680" w:rsidRDefault="00751662" w:rsidP="00751662">
      <w:pPr>
        <w:pStyle w:val="Heading1"/>
        <w:spacing w:before="120"/>
      </w:pPr>
      <w:r w:rsidRPr="00AB7680">
        <w:t xml:space="preserve">Context </w:t>
      </w:r>
    </w:p>
    <w:p w14:paraId="5C6AC6CA" w14:textId="0EA2687D" w:rsidR="00AB7680" w:rsidRPr="002E3CE7" w:rsidRDefault="002E3CE7" w:rsidP="00751662">
      <w:pPr>
        <w:rPr>
          <w:rStyle w:val="Hyperlink"/>
          <w:rFonts w:asciiTheme="minorHAnsi" w:hAnsiTheme="minorHAnsi" w:cstheme="minorBidi"/>
          <w:u w:val="none"/>
        </w:rPr>
      </w:pPr>
      <w:r>
        <w:rPr>
          <w:sz w:val="20"/>
          <w:szCs w:val="20"/>
          <w:lang w:val="en-US"/>
        </w:rPr>
        <w:t>T</w:t>
      </w:r>
      <w:r w:rsidRPr="00AB7680">
        <w:rPr>
          <w:sz w:val="20"/>
          <w:szCs w:val="20"/>
          <w:lang w:val="en-US"/>
        </w:rPr>
        <w:t xml:space="preserve">he </w:t>
      </w:r>
      <w:hyperlink r:id="rId18" w:history="1">
        <w:r w:rsidRPr="002E3CE7">
          <w:rPr>
            <w:rStyle w:val="Hyperlink"/>
            <w:rFonts w:asciiTheme="minorHAnsi" w:hAnsiTheme="minorHAnsi" w:cstheme="minorBidi"/>
            <w:i/>
            <w:iCs/>
            <w:sz w:val="20"/>
            <w:szCs w:val="20"/>
            <w:lang w:val="en-US"/>
          </w:rPr>
          <w:t>Environment Protection and Biodiversity Conservation Act 1999</w:t>
        </w:r>
      </w:hyperlink>
      <w:r>
        <w:rPr>
          <w:sz w:val="20"/>
          <w:szCs w:val="20"/>
          <w:lang w:val="en-US"/>
        </w:rPr>
        <w:t xml:space="preserve"> (</w:t>
      </w:r>
      <w:proofErr w:type="spellStart"/>
      <w:r>
        <w:rPr>
          <w:sz w:val="20"/>
          <w:szCs w:val="20"/>
          <w:lang w:val="en-US"/>
        </w:rPr>
        <w:t>Cth</w:t>
      </w:r>
      <w:proofErr w:type="spellEnd"/>
      <w:r>
        <w:rPr>
          <w:sz w:val="20"/>
          <w:szCs w:val="20"/>
          <w:lang w:val="en-US"/>
        </w:rPr>
        <w:t xml:space="preserve">) protects </w:t>
      </w:r>
      <w:r w:rsidRPr="00AB7680">
        <w:rPr>
          <w:sz w:val="20"/>
          <w:szCs w:val="20"/>
          <w:lang w:val="en-US"/>
        </w:rPr>
        <w:t>matter</w:t>
      </w:r>
      <w:r>
        <w:rPr>
          <w:sz w:val="20"/>
          <w:szCs w:val="20"/>
          <w:lang w:val="en-US"/>
        </w:rPr>
        <w:t>s</w:t>
      </w:r>
      <w:r w:rsidRPr="00AB7680">
        <w:rPr>
          <w:sz w:val="20"/>
          <w:szCs w:val="20"/>
          <w:lang w:val="en-US"/>
        </w:rPr>
        <w:t xml:space="preserve"> of national environmental significance</w:t>
      </w:r>
      <w:r>
        <w:rPr>
          <w:sz w:val="20"/>
          <w:szCs w:val="20"/>
          <w:lang w:val="en-US"/>
        </w:rPr>
        <w:t xml:space="preserve">, including </w:t>
      </w:r>
      <w:r>
        <w:rPr>
          <w:sz w:val="20"/>
          <w:szCs w:val="20"/>
          <w:lang w:val="en-US"/>
        </w:rPr>
        <w:t>w</w:t>
      </w:r>
      <w:r w:rsidR="00AB7680" w:rsidRPr="00AB7680">
        <w:rPr>
          <w:sz w:val="20"/>
          <w:szCs w:val="20"/>
          <w:lang w:val="en-US"/>
        </w:rPr>
        <w:t>ater resources in relation to CSG and LCM developments</w:t>
      </w:r>
      <w:r>
        <w:rPr>
          <w:sz w:val="20"/>
          <w:szCs w:val="20"/>
          <w:lang w:val="en-US"/>
        </w:rPr>
        <w:t>.</w:t>
      </w:r>
      <w:r w:rsidR="00AB7680" w:rsidRPr="00AB7680">
        <w:rPr>
          <w:sz w:val="20"/>
          <w:szCs w:val="20"/>
          <w:lang w:val="en-US"/>
        </w:rPr>
        <w:t xml:space="preserve"> </w:t>
      </w:r>
      <w:r w:rsidRPr="002E3CE7">
        <w:rPr>
          <w:sz w:val="20"/>
          <w:szCs w:val="20"/>
          <w:lang w:val="en-US"/>
        </w:rPr>
        <w:t>Guidance on what is considered a significant impact</w:t>
      </w:r>
      <w:r>
        <w:rPr>
          <w:sz w:val="20"/>
          <w:szCs w:val="20"/>
          <w:lang w:val="en-US"/>
        </w:rPr>
        <w:t xml:space="preserve">, </w:t>
      </w:r>
      <w:r w:rsidR="007A4921">
        <w:rPr>
          <w:sz w:val="20"/>
          <w:szCs w:val="20"/>
          <w:lang w:val="en-US"/>
        </w:rPr>
        <w:t>including to surface and groundwater</w:t>
      </w:r>
      <w:r w:rsidR="000802C6">
        <w:rPr>
          <w:sz w:val="20"/>
          <w:szCs w:val="20"/>
          <w:lang w:val="en-US"/>
        </w:rPr>
        <w:t>s</w:t>
      </w:r>
      <w:r w:rsidR="007A4921">
        <w:rPr>
          <w:sz w:val="20"/>
          <w:szCs w:val="20"/>
          <w:lang w:val="en-US"/>
        </w:rPr>
        <w:t>,</w:t>
      </w:r>
      <w:r w:rsidRPr="002E3CE7">
        <w:rPr>
          <w:sz w:val="20"/>
          <w:szCs w:val="20"/>
          <w:lang w:val="en-US"/>
        </w:rPr>
        <w:t xml:space="preserve"> is available </w:t>
      </w:r>
      <w:r>
        <w:rPr>
          <w:sz w:val="20"/>
          <w:szCs w:val="20"/>
          <w:lang w:val="en-US"/>
        </w:rPr>
        <w:t>through</w:t>
      </w:r>
      <w:r w:rsidR="005548A9">
        <w:rPr>
          <w:sz w:val="20"/>
          <w:szCs w:val="20"/>
          <w:lang w:val="en-US"/>
        </w:rPr>
        <w:t xml:space="preserve"> the</w:t>
      </w:r>
      <w:r>
        <w:rPr>
          <w:sz w:val="20"/>
          <w:szCs w:val="20"/>
          <w:lang w:val="en-US"/>
        </w:rPr>
        <w:t xml:space="preserve"> </w:t>
      </w:r>
      <w:hyperlink r:id="rId19" w:history="1">
        <w:r w:rsidRPr="002E3CE7">
          <w:rPr>
            <w:rStyle w:val="Hyperlink"/>
            <w:rFonts w:asciiTheme="minorHAnsi" w:hAnsiTheme="minorHAnsi" w:cstheme="minorBidi"/>
            <w:i/>
            <w:iCs/>
            <w:sz w:val="20"/>
            <w:szCs w:val="20"/>
            <w:lang w:val="en-US"/>
          </w:rPr>
          <w:t>Significant Impact Guidelines 1.3</w:t>
        </w:r>
      </w:hyperlink>
      <w:r>
        <w:rPr>
          <w:rStyle w:val="Hyperlink"/>
          <w:rFonts w:asciiTheme="minorHAnsi" w:hAnsiTheme="minorHAnsi" w:cstheme="minorBidi"/>
          <w:sz w:val="20"/>
          <w:szCs w:val="20"/>
          <w:u w:val="none"/>
          <w:lang w:val="en-US"/>
        </w:rPr>
        <w:t>.</w:t>
      </w:r>
      <w:r w:rsidR="005548A9">
        <w:rPr>
          <w:rStyle w:val="Hyperlink"/>
          <w:rFonts w:asciiTheme="minorHAnsi" w:hAnsiTheme="minorHAnsi" w:cstheme="minorBidi"/>
          <w:sz w:val="20"/>
          <w:szCs w:val="20"/>
          <w:u w:val="none"/>
          <w:lang w:val="en-US"/>
        </w:rPr>
        <w:t xml:space="preserve"> </w:t>
      </w:r>
    </w:p>
    <w:p w14:paraId="376B2604" w14:textId="77777777" w:rsidR="002E3CE7" w:rsidRDefault="002E3CE7" w:rsidP="00751662">
      <w:pPr>
        <w:rPr>
          <w:sz w:val="20"/>
          <w:szCs w:val="20"/>
          <w:lang w:val="en-US"/>
        </w:rPr>
      </w:pPr>
    </w:p>
    <w:p w14:paraId="6F76A3DD" w14:textId="3F1F43F3" w:rsidR="009C7EA5" w:rsidRDefault="009C7EA5" w:rsidP="00751662">
      <w:pPr>
        <w:rPr>
          <w:sz w:val="20"/>
          <w:szCs w:val="20"/>
          <w:lang w:val="en-US"/>
        </w:rPr>
      </w:pPr>
      <w:r w:rsidRPr="009C7EA5">
        <w:rPr>
          <w:sz w:val="20"/>
          <w:szCs w:val="20"/>
          <w:lang w:val="en-US"/>
        </w:rPr>
        <w:t xml:space="preserve">CSG and LCM environmental impact assessments often </w:t>
      </w:r>
      <w:r>
        <w:rPr>
          <w:sz w:val="20"/>
          <w:szCs w:val="20"/>
          <w:lang w:val="en-US"/>
        </w:rPr>
        <w:t>predict</w:t>
      </w:r>
      <w:r w:rsidRPr="009C7EA5">
        <w:rPr>
          <w:sz w:val="20"/>
          <w:szCs w:val="20"/>
          <w:lang w:val="en-US"/>
        </w:rPr>
        <w:t xml:space="preserve"> surface and groundwater </w:t>
      </w:r>
      <w:r>
        <w:rPr>
          <w:sz w:val="20"/>
          <w:szCs w:val="20"/>
          <w:lang w:val="en-US"/>
        </w:rPr>
        <w:t>changes</w:t>
      </w:r>
      <w:r w:rsidRPr="009C7EA5">
        <w:rPr>
          <w:sz w:val="20"/>
          <w:szCs w:val="20"/>
          <w:lang w:val="en-US"/>
        </w:rPr>
        <w:t xml:space="preserve"> through </w:t>
      </w:r>
      <w:r w:rsidR="00AB7680">
        <w:rPr>
          <w:sz w:val="20"/>
          <w:szCs w:val="20"/>
          <w:lang w:val="en-US"/>
        </w:rPr>
        <w:t xml:space="preserve">numerical </w:t>
      </w:r>
      <w:r w:rsidRPr="009C7EA5">
        <w:rPr>
          <w:sz w:val="20"/>
          <w:szCs w:val="20"/>
          <w:lang w:val="en-US"/>
        </w:rPr>
        <w:t>model</w:t>
      </w:r>
      <w:r w:rsidR="00CA32D9">
        <w:rPr>
          <w:sz w:val="20"/>
          <w:szCs w:val="20"/>
          <w:lang w:val="en-US"/>
        </w:rPr>
        <w:t>s</w:t>
      </w:r>
      <w:r w:rsidRPr="009C7EA5">
        <w:rPr>
          <w:sz w:val="20"/>
          <w:szCs w:val="20"/>
          <w:lang w:val="en-US"/>
        </w:rPr>
        <w:t>. However, f</w:t>
      </w:r>
      <w:r w:rsidR="00313408" w:rsidRPr="009C7EA5">
        <w:rPr>
          <w:sz w:val="20"/>
          <w:szCs w:val="20"/>
          <w:lang w:val="en-US"/>
        </w:rPr>
        <w:t xml:space="preserve">ault </w:t>
      </w:r>
      <w:proofErr w:type="spellStart"/>
      <w:r w:rsidR="00313408" w:rsidRPr="009C7EA5">
        <w:rPr>
          <w:sz w:val="20"/>
          <w:szCs w:val="20"/>
          <w:lang w:val="en-US"/>
        </w:rPr>
        <w:t>behaviour</w:t>
      </w:r>
      <w:proofErr w:type="spellEnd"/>
      <w:r w:rsidR="00313408" w:rsidRPr="009C7EA5">
        <w:rPr>
          <w:sz w:val="20"/>
          <w:szCs w:val="20"/>
          <w:lang w:val="en-US"/>
        </w:rPr>
        <w:t xml:space="preserve"> </w:t>
      </w:r>
      <w:r w:rsidRPr="009C7EA5">
        <w:rPr>
          <w:sz w:val="20"/>
          <w:szCs w:val="20"/>
          <w:lang w:val="en-US"/>
        </w:rPr>
        <w:t>is</w:t>
      </w:r>
      <w:r w:rsidR="00D7358E">
        <w:rPr>
          <w:sz w:val="20"/>
          <w:szCs w:val="20"/>
          <w:lang w:val="en-US"/>
        </w:rPr>
        <w:t xml:space="preserve"> seldom</w:t>
      </w:r>
      <w:r w:rsidRPr="009C7EA5">
        <w:rPr>
          <w:sz w:val="20"/>
          <w:szCs w:val="20"/>
          <w:lang w:val="en-US"/>
        </w:rPr>
        <w:t xml:space="preserve"> considered in detail, and </w:t>
      </w:r>
      <w:r w:rsidR="00313408" w:rsidRPr="009C7EA5">
        <w:rPr>
          <w:sz w:val="20"/>
          <w:szCs w:val="20"/>
          <w:lang w:val="en-US"/>
        </w:rPr>
        <w:t xml:space="preserve">may vary spatially </w:t>
      </w:r>
      <w:r w:rsidRPr="009C7EA5">
        <w:rPr>
          <w:sz w:val="20"/>
          <w:szCs w:val="20"/>
          <w:lang w:val="en-US"/>
        </w:rPr>
        <w:t>or</w:t>
      </w:r>
      <w:r w:rsidR="00313408" w:rsidRPr="009C7EA5">
        <w:rPr>
          <w:sz w:val="20"/>
          <w:szCs w:val="20"/>
          <w:lang w:val="en-US"/>
        </w:rPr>
        <w:t xml:space="preserve"> change during a coal development project. </w:t>
      </w:r>
      <w:r w:rsidR="00BD4769">
        <w:rPr>
          <w:sz w:val="20"/>
          <w:szCs w:val="20"/>
          <w:lang w:val="en-US"/>
        </w:rPr>
        <w:t xml:space="preserve">This often leads to an assumption that a fault is a hydraulic barrier without supporting evidence to support this assumption. </w:t>
      </w:r>
    </w:p>
    <w:p w14:paraId="1FB1C32E" w14:textId="0199849F" w:rsidR="000802C6" w:rsidRDefault="000802C6" w:rsidP="00751662">
      <w:pPr>
        <w:rPr>
          <w:sz w:val="20"/>
          <w:szCs w:val="20"/>
          <w:lang w:val="en-US"/>
        </w:rPr>
      </w:pPr>
    </w:p>
    <w:p w14:paraId="1F539FD6" w14:textId="6C49AFCD" w:rsidR="00751662" w:rsidRDefault="00751662" w:rsidP="00751662">
      <w:pPr>
        <w:rPr>
          <w:sz w:val="20"/>
          <w:szCs w:val="20"/>
          <w:lang w:val="en-US"/>
        </w:rPr>
      </w:pPr>
      <w:r w:rsidRPr="0078196E">
        <w:rPr>
          <w:sz w:val="20"/>
          <w:szCs w:val="20"/>
          <w:lang w:val="en-US"/>
        </w:rPr>
        <w:t xml:space="preserve">To supplement the </w:t>
      </w:r>
      <w:hyperlink r:id="rId20" w:history="1">
        <w:r w:rsidRPr="0078196E">
          <w:rPr>
            <w:rStyle w:val="Hyperlink"/>
            <w:rFonts w:asciiTheme="minorHAnsi" w:hAnsiTheme="minorHAnsi" w:cstheme="minorBidi"/>
            <w:sz w:val="20"/>
            <w:szCs w:val="20"/>
            <w:lang w:val="en-US"/>
          </w:rPr>
          <w:t>IESC Information Guidelines</w:t>
        </w:r>
      </w:hyperlink>
      <w:r w:rsidR="000802C6" w:rsidRPr="0078196E">
        <w:rPr>
          <w:sz w:val="20"/>
          <w:szCs w:val="20"/>
          <w:lang w:val="en-US"/>
        </w:rPr>
        <w:t xml:space="preserve"> (2018)</w:t>
      </w:r>
      <w:r w:rsidRPr="0078196E">
        <w:rPr>
          <w:sz w:val="20"/>
          <w:szCs w:val="20"/>
          <w:lang w:val="en-US"/>
        </w:rPr>
        <w:t xml:space="preserve">, the IESC </w:t>
      </w:r>
      <w:r w:rsidR="0078196E">
        <w:rPr>
          <w:sz w:val="20"/>
          <w:szCs w:val="20"/>
          <w:lang w:val="en-US"/>
        </w:rPr>
        <w:t xml:space="preserve">has </w:t>
      </w:r>
      <w:r w:rsidRPr="0078196E">
        <w:rPr>
          <w:sz w:val="20"/>
          <w:szCs w:val="20"/>
          <w:lang w:val="en-US"/>
        </w:rPr>
        <w:t xml:space="preserve">developed an </w:t>
      </w:r>
      <w:r w:rsidR="000802C6" w:rsidRPr="0078196E">
        <w:rPr>
          <w:sz w:val="20"/>
          <w:szCs w:val="20"/>
          <w:lang w:val="en-US"/>
        </w:rPr>
        <w:t>E</w:t>
      </w:r>
      <w:r w:rsidRPr="0078196E">
        <w:rPr>
          <w:sz w:val="20"/>
          <w:szCs w:val="20"/>
          <w:lang w:val="en-US"/>
        </w:rPr>
        <w:t xml:space="preserve">xplanatory </w:t>
      </w:r>
      <w:r w:rsidR="000802C6" w:rsidRPr="0078196E">
        <w:rPr>
          <w:sz w:val="20"/>
          <w:szCs w:val="20"/>
          <w:lang w:val="en-US"/>
        </w:rPr>
        <w:t>N</w:t>
      </w:r>
      <w:r w:rsidRPr="0078196E">
        <w:rPr>
          <w:sz w:val="20"/>
          <w:szCs w:val="20"/>
          <w:lang w:val="en-US"/>
        </w:rPr>
        <w:t xml:space="preserve">ote on </w:t>
      </w:r>
      <w:r w:rsidR="000802C6" w:rsidRPr="0078196E">
        <w:rPr>
          <w:sz w:val="20"/>
          <w:szCs w:val="20"/>
          <w:lang w:val="en-US"/>
        </w:rPr>
        <w:t>characterizing and modelling geological fault zones</w:t>
      </w:r>
      <w:r w:rsidRPr="0078196E">
        <w:rPr>
          <w:sz w:val="20"/>
          <w:szCs w:val="20"/>
          <w:lang w:val="en-US"/>
        </w:rPr>
        <w:t xml:space="preserve">. </w:t>
      </w:r>
      <w:r w:rsidR="00E81325">
        <w:rPr>
          <w:sz w:val="20"/>
          <w:szCs w:val="20"/>
          <w:lang w:val="en-US"/>
        </w:rPr>
        <w:t>In the context of faulting, t</w:t>
      </w:r>
      <w:r w:rsidRPr="0078196E">
        <w:rPr>
          <w:sz w:val="20"/>
          <w:szCs w:val="20"/>
          <w:lang w:val="en-US"/>
        </w:rPr>
        <w:t xml:space="preserve">his </w:t>
      </w:r>
      <w:r w:rsidR="000802C6" w:rsidRPr="0078196E">
        <w:rPr>
          <w:sz w:val="20"/>
          <w:szCs w:val="20"/>
          <w:lang w:val="en-US"/>
        </w:rPr>
        <w:t>E</w:t>
      </w:r>
      <w:r w:rsidRPr="0078196E">
        <w:rPr>
          <w:sz w:val="20"/>
          <w:szCs w:val="20"/>
          <w:lang w:val="en-US"/>
        </w:rPr>
        <w:t xml:space="preserve">xplanatory </w:t>
      </w:r>
      <w:r w:rsidR="000802C6" w:rsidRPr="0078196E">
        <w:rPr>
          <w:sz w:val="20"/>
          <w:szCs w:val="20"/>
          <w:lang w:val="en-US"/>
        </w:rPr>
        <w:t>N</w:t>
      </w:r>
      <w:r w:rsidRPr="0078196E">
        <w:rPr>
          <w:sz w:val="20"/>
          <w:szCs w:val="20"/>
          <w:lang w:val="en-US"/>
        </w:rPr>
        <w:t>ote provides additional guidance to proponents undertaking a</w:t>
      </w:r>
      <w:r w:rsidR="00E81325">
        <w:rPr>
          <w:sz w:val="20"/>
          <w:szCs w:val="20"/>
          <w:lang w:val="en-US"/>
        </w:rPr>
        <w:t>n</w:t>
      </w:r>
      <w:r w:rsidR="00C33513">
        <w:rPr>
          <w:sz w:val="20"/>
          <w:szCs w:val="20"/>
          <w:lang w:val="en-US"/>
        </w:rPr>
        <w:t xml:space="preserve"> </w:t>
      </w:r>
      <w:r w:rsidRPr="0078196E">
        <w:rPr>
          <w:sz w:val="20"/>
          <w:szCs w:val="20"/>
          <w:lang w:val="en-US"/>
        </w:rPr>
        <w:t xml:space="preserve">impact assessment of </w:t>
      </w:r>
      <w:r w:rsidR="008D6949">
        <w:rPr>
          <w:sz w:val="20"/>
          <w:szCs w:val="20"/>
          <w:lang w:val="en-US"/>
        </w:rPr>
        <w:t xml:space="preserve">risks to </w:t>
      </w:r>
      <w:r w:rsidR="0078196E">
        <w:rPr>
          <w:sz w:val="20"/>
          <w:szCs w:val="20"/>
          <w:lang w:val="en-US"/>
        </w:rPr>
        <w:t xml:space="preserve">key water assets and </w:t>
      </w:r>
      <w:r w:rsidRPr="0078196E">
        <w:rPr>
          <w:sz w:val="20"/>
          <w:szCs w:val="20"/>
          <w:lang w:val="en-US"/>
        </w:rPr>
        <w:t xml:space="preserve">GDEs. It outlines a logical framework for undertaking the assessment and suggests some tools and techniques that may be useful during the assessment. </w:t>
      </w:r>
    </w:p>
    <w:p w14:paraId="7A93962D" w14:textId="77777777" w:rsidR="00751662" w:rsidRPr="00170D0A" w:rsidRDefault="00751662" w:rsidP="00751662">
      <w:pPr>
        <w:rPr>
          <w:sz w:val="20"/>
          <w:szCs w:val="20"/>
          <w:highlight w:val="yellow"/>
          <w:lang w:val="en-US"/>
        </w:rPr>
      </w:pPr>
    </w:p>
    <w:p w14:paraId="0AF53D74" w14:textId="03A12E26" w:rsidR="00751662" w:rsidRPr="00470D12" w:rsidRDefault="00751662" w:rsidP="00751662">
      <w:pPr>
        <w:spacing w:before="120" w:after="120"/>
        <w:rPr>
          <w:rFonts w:ascii="Calibri" w:hAnsi="Calibri" w:cs="Calibri"/>
          <w:b/>
          <w:color w:val="005695"/>
          <w:sz w:val="28"/>
          <w:szCs w:val="28"/>
          <w:lang w:val="en-US"/>
        </w:rPr>
      </w:pPr>
      <w:r w:rsidRPr="00470D12">
        <w:rPr>
          <w:rFonts w:ascii="Calibri" w:hAnsi="Calibri" w:cs="Calibri"/>
          <w:b/>
          <w:color w:val="005695"/>
          <w:sz w:val="28"/>
          <w:szCs w:val="28"/>
          <w:lang w:val="en-US"/>
        </w:rPr>
        <w:t>F</w:t>
      </w:r>
      <w:r w:rsidR="000A59D0" w:rsidRPr="00470D12">
        <w:rPr>
          <w:rFonts w:ascii="Calibri" w:hAnsi="Calibri" w:cs="Calibri"/>
          <w:b/>
          <w:color w:val="005695"/>
          <w:sz w:val="28"/>
          <w:szCs w:val="28"/>
          <w:lang w:val="en-US"/>
        </w:rPr>
        <w:t>ault analysis procedure</w:t>
      </w:r>
    </w:p>
    <w:p w14:paraId="187266D9" w14:textId="65BAEB2D" w:rsidR="00417BD8" w:rsidRDefault="00D7358E" w:rsidP="004D3464">
      <w:pPr>
        <w:rPr>
          <w:sz w:val="20"/>
          <w:szCs w:val="20"/>
          <w:lang w:val="en-US"/>
        </w:rPr>
      </w:pPr>
      <w:r>
        <w:rPr>
          <w:sz w:val="20"/>
          <w:szCs w:val="20"/>
          <w:lang w:val="en-US"/>
        </w:rPr>
        <w:t>Various</w:t>
      </w:r>
      <w:r w:rsidR="00497359" w:rsidRPr="00470D12">
        <w:rPr>
          <w:sz w:val="20"/>
          <w:szCs w:val="20"/>
          <w:lang w:val="en-US"/>
        </w:rPr>
        <w:t xml:space="preserve"> </w:t>
      </w:r>
      <w:r w:rsidR="000A59D0" w:rsidRPr="00470D12">
        <w:rPr>
          <w:sz w:val="20"/>
          <w:szCs w:val="20"/>
          <w:lang w:val="en-US"/>
        </w:rPr>
        <w:t xml:space="preserve">approaches, methods and tools are now available </w:t>
      </w:r>
      <w:r w:rsidR="00C10B78" w:rsidRPr="00470D12">
        <w:rPr>
          <w:sz w:val="20"/>
          <w:szCs w:val="20"/>
          <w:lang w:val="en-US"/>
        </w:rPr>
        <w:t xml:space="preserve">to assess the risks </w:t>
      </w:r>
      <w:r w:rsidR="00A13708">
        <w:rPr>
          <w:sz w:val="20"/>
          <w:szCs w:val="20"/>
          <w:lang w:val="en-US"/>
        </w:rPr>
        <w:t xml:space="preserve">posed by </w:t>
      </w:r>
      <w:r w:rsidR="00A13708" w:rsidRPr="00470D12">
        <w:rPr>
          <w:sz w:val="20"/>
          <w:szCs w:val="20"/>
          <w:lang w:val="en-US"/>
        </w:rPr>
        <w:t xml:space="preserve">geological faults </w:t>
      </w:r>
      <w:r w:rsidR="00A13708">
        <w:rPr>
          <w:sz w:val="20"/>
          <w:szCs w:val="20"/>
          <w:lang w:val="en-US"/>
        </w:rPr>
        <w:t>from</w:t>
      </w:r>
      <w:r w:rsidR="00806996" w:rsidRPr="00470D12">
        <w:rPr>
          <w:sz w:val="20"/>
          <w:szCs w:val="20"/>
          <w:lang w:val="en-US"/>
        </w:rPr>
        <w:t xml:space="preserve"> </w:t>
      </w:r>
      <w:r w:rsidR="00CB5C5F">
        <w:rPr>
          <w:sz w:val="20"/>
          <w:szCs w:val="20"/>
          <w:lang w:val="en-US"/>
        </w:rPr>
        <w:t xml:space="preserve">coal resource </w:t>
      </w:r>
      <w:r w:rsidR="00153AD1" w:rsidRPr="00470D12">
        <w:rPr>
          <w:sz w:val="20"/>
          <w:szCs w:val="20"/>
          <w:lang w:val="en-US"/>
        </w:rPr>
        <w:t>development</w:t>
      </w:r>
      <w:r w:rsidR="000A59D0" w:rsidRPr="00470D12">
        <w:rPr>
          <w:sz w:val="20"/>
          <w:szCs w:val="20"/>
          <w:lang w:val="en-US"/>
        </w:rPr>
        <w:t xml:space="preserve">. </w:t>
      </w:r>
      <w:r w:rsidR="002D0424">
        <w:rPr>
          <w:sz w:val="20"/>
          <w:szCs w:val="20"/>
          <w:lang w:val="en-US"/>
        </w:rPr>
        <w:t xml:space="preserve">The Explanatory Note outlines some of these tools, </w:t>
      </w:r>
      <w:r w:rsidR="0053585A">
        <w:rPr>
          <w:sz w:val="20"/>
          <w:szCs w:val="20"/>
          <w:lang w:val="en-US"/>
        </w:rPr>
        <w:t>where</w:t>
      </w:r>
      <w:r w:rsidR="00D34666">
        <w:rPr>
          <w:sz w:val="20"/>
          <w:szCs w:val="20"/>
          <w:lang w:val="en-US"/>
        </w:rPr>
        <w:t xml:space="preserve"> it is important to </w:t>
      </w:r>
      <w:r w:rsidR="003C358D">
        <w:rPr>
          <w:sz w:val="20"/>
          <w:szCs w:val="20"/>
          <w:lang w:val="en-US"/>
        </w:rPr>
        <w:t>consider</w:t>
      </w:r>
      <w:r w:rsidR="00D34666">
        <w:rPr>
          <w:sz w:val="20"/>
          <w:szCs w:val="20"/>
          <w:lang w:val="en-US"/>
        </w:rPr>
        <w:t xml:space="preserve"> t</w:t>
      </w:r>
      <w:r w:rsidR="000A59D0" w:rsidRPr="00470D12">
        <w:rPr>
          <w:sz w:val="20"/>
          <w:szCs w:val="20"/>
          <w:lang w:val="en-US"/>
        </w:rPr>
        <w:t>he following steps</w:t>
      </w:r>
      <w:r w:rsidR="008B4636" w:rsidRPr="00470D12">
        <w:rPr>
          <w:sz w:val="20"/>
          <w:szCs w:val="20"/>
          <w:lang w:val="en-US"/>
        </w:rPr>
        <w:t xml:space="preserve"> </w:t>
      </w:r>
      <w:r w:rsidR="000A59D0" w:rsidRPr="00470D12">
        <w:rPr>
          <w:sz w:val="20"/>
          <w:szCs w:val="20"/>
          <w:lang w:val="en-US"/>
        </w:rPr>
        <w:t xml:space="preserve">within the context of the site and </w:t>
      </w:r>
      <w:r w:rsidR="00417BD8" w:rsidRPr="00470D12">
        <w:rPr>
          <w:sz w:val="20"/>
          <w:szCs w:val="20"/>
          <w:lang w:val="en-US"/>
        </w:rPr>
        <w:t xml:space="preserve">the </w:t>
      </w:r>
      <w:r w:rsidR="000A59D0" w:rsidRPr="00470D12">
        <w:rPr>
          <w:sz w:val="20"/>
          <w:szCs w:val="20"/>
          <w:lang w:val="en-US"/>
        </w:rPr>
        <w:t>proposed project</w:t>
      </w:r>
      <w:r w:rsidR="00417BD8" w:rsidRPr="00470D12">
        <w:rPr>
          <w:sz w:val="20"/>
          <w:szCs w:val="20"/>
          <w:lang w:val="en-US"/>
        </w:rPr>
        <w:t xml:space="preserve"> (also </w:t>
      </w:r>
      <w:r w:rsidR="00643816" w:rsidRPr="00470D12">
        <w:rPr>
          <w:sz w:val="20"/>
          <w:szCs w:val="20"/>
          <w:lang w:val="en-US"/>
        </w:rPr>
        <w:t>summarized</w:t>
      </w:r>
      <w:r w:rsidR="00417BD8" w:rsidRPr="00470D12">
        <w:rPr>
          <w:sz w:val="20"/>
          <w:szCs w:val="20"/>
          <w:lang w:val="en-US"/>
        </w:rPr>
        <w:t xml:space="preserve"> in Figure </w:t>
      </w:r>
      <w:r w:rsidR="00910077">
        <w:rPr>
          <w:sz w:val="20"/>
          <w:szCs w:val="20"/>
          <w:lang w:val="en-US"/>
        </w:rPr>
        <w:t>1</w:t>
      </w:r>
      <w:r w:rsidR="00643816" w:rsidRPr="00470D12">
        <w:rPr>
          <w:sz w:val="20"/>
          <w:szCs w:val="20"/>
          <w:lang w:val="en-US"/>
        </w:rPr>
        <w:t>):</w:t>
      </w:r>
    </w:p>
    <w:p w14:paraId="505DC6C7" w14:textId="77777777" w:rsidR="00910077" w:rsidRDefault="00910077" w:rsidP="004D3464">
      <w:pPr>
        <w:rPr>
          <w:sz w:val="20"/>
          <w:szCs w:val="20"/>
          <w:lang w:val="en-US"/>
        </w:rPr>
      </w:pPr>
    </w:p>
    <w:p w14:paraId="299473F3" w14:textId="699F0B8B" w:rsidR="00470D12" w:rsidRPr="00470D12" w:rsidRDefault="002B450B" w:rsidP="00470D12">
      <w:pPr>
        <w:pStyle w:val="ListParagraph"/>
        <w:numPr>
          <w:ilvl w:val="0"/>
          <w:numId w:val="12"/>
        </w:numPr>
        <w:rPr>
          <w:sz w:val="20"/>
          <w:szCs w:val="20"/>
          <w:lang w:val="en-US"/>
        </w:rPr>
      </w:pPr>
      <w:r>
        <w:rPr>
          <w:sz w:val="20"/>
          <w:szCs w:val="20"/>
          <w:lang w:val="en-US"/>
        </w:rPr>
        <w:t>define</w:t>
      </w:r>
      <w:r w:rsidR="00B62E88">
        <w:rPr>
          <w:sz w:val="20"/>
          <w:szCs w:val="20"/>
          <w:lang w:val="en-US"/>
        </w:rPr>
        <w:t xml:space="preserve"> </w:t>
      </w:r>
      <w:r w:rsidR="00470D12" w:rsidRPr="00470D12">
        <w:rPr>
          <w:sz w:val="20"/>
          <w:szCs w:val="20"/>
          <w:lang w:val="en-US"/>
        </w:rPr>
        <w:t>the geological setting, including the major rock types, the stratigraphy</w:t>
      </w:r>
      <w:r w:rsidR="00B62E88">
        <w:rPr>
          <w:sz w:val="20"/>
          <w:szCs w:val="20"/>
          <w:lang w:val="en-US"/>
        </w:rPr>
        <w:t>,</w:t>
      </w:r>
      <w:r w:rsidR="00470D12" w:rsidRPr="00470D12">
        <w:rPr>
          <w:sz w:val="20"/>
          <w:szCs w:val="20"/>
          <w:lang w:val="en-US"/>
        </w:rPr>
        <w:t xml:space="preserve"> the </w:t>
      </w:r>
      <w:r w:rsidR="00470D12" w:rsidRPr="00470D12">
        <w:rPr>
          <w:sz w:val="20"/>
          <w:szCs w:val="20"/>
          <w:lang w:val="en-US"/>
        </w:rPr>
        <w:lastRenderedPageBreak/>
        <w:t>faults or fault zones</w:t>
      </w:r>
      <w:r w:rsidR="00B62E88">
        <w:rPr>
          <w:sz w:val="20"/>
          <w:szCs w:val="20"/>
          <w:lang w:val="en-US"/>
        </w:rPr>
        <w:t xml:space="preserve"> and the key groundwater assets</w:t>
      </w:r>
      <w:r>
        <w:rPr>
          <w:sz w:val="20"/>
          <w:szCs w:val="20"/>
          <w:lang w:val="en-US"/>
        </w:rPr>
        <w:t xml:space="preserve"> and GDEs</w:t>
      </w:r>
      <w:r w:rsidR="00470D12" w:rsidRPr="00470D12">
        <w:rPr>
          <w:sz w:val="20"/>
          <w:szCs w:val="20"/>
          <w:lang w:val="en-US"/>
        </w:rPr>
        <w:t>.</w:t>
      </w:r>
    </w:p>
    <w:p w14:paraId="5EFDCE0F" w14:textId="0DCACFD3" w:rsidR="00470D12" w:rsidRDefault="00D667DD" w:rsidP="00470D12">
      <w:pPr>
        <w:pStyle w:val="ListParagraph"/>
        <w:numPr>
          <w:ilvl w:val="0"/>
          <w:numId w:val="12"/>
        </w:numPr>
        <w:rPr>
          <w:sz w:val="20"/>
          <w:szCs w:val="20"/>
          <w:lang w:val="en-US"/>
        </w:rPr>
      </w:pPr>
      <w:r>
        <w:rPr>
          <w:sz w:val="20"/>
          <w:szCs w:val="20"/>
          <w:lang w:val="en-US"/>
        </w:rPr>
        <w:t xml:space="preserve">consider the plausibility </w:t>
      </w:r>
      <w:r w:rsidR="00470D12" w:rsidRPr="002B450B">
        <w:rPr>
          <w:sz w:val="20"/>
          <w:szCs w:val="20"/>
          <w:lang w:val="en-US"/>
        </w:rPr>
        <w:t xml:space="preserve">that any faults connect assets </w:t>
      </w:r>
      <w:r w:rsidR="00FB1A3C">
        <w:rPr>
          <w:sz w:val="20"/>
          <w:szCs w:val="20"/>
          <w:lang w:val="en-US"/>
        </w:rPr>
        <w:t xml:space="preserve">to </w:t>
      </w:r>
      <w:r w:rsidR="00470D12" w:rsidRPr="002B450B">
        <w:rPr>
          <w:sz w:val="20"/>
          <w:szCs w:val="20"/>
          <w:lang w:val="en-US"/>
        </w:rPr>
        <w:t>the coal seams or excavations</w:t>
      </w:r>
      <w:r w:rsidR="002B450B">
        <w:rPr>
          <w:sz w:val="20"/>
          <w:szCs w:val="20"/>
          <w:lang w:val="en-US"/>
        </w:rPr>
        <w:t xml:space="preserve"> (for </w:t>
      </w:r>
      <w:r w:rsidR="002B450B" w:rsidRPr="003E019F">
        <w:rPr>
          <w:sz w:val="20"/>
          <w:szCs w:val="20"/>
          <w:lang w:val="en-US"/>
        </w:rPr>
        <w:t>pre-development, development and post-development</w:t>
      </w:r>
      <w:r w:rsidR="002B450B">
        <w:rPr>
          <w:sz w:val="20"/>
          <w:szCs w:val="20"/>
          <w:lang w:val="en-US"/>
        </w:rPr>
        <w:t xml:space="preserve"> phases of the project)</w:t>
      </w:r>
      <w:r w:rsidR="00470D12" w:rsidRPr="002B450B">
        <w:rPr>
          <w:sz w:val="20"/>
          <w:szCs w:val="20"/>
          <w:lang w:val="en-US"/>
        </w:rPr>
        <w:t>.</w:t>
      </w:r>
    </w:p>
    <w:p w14:paraId="26B95429" w14:textId="13A6BD31" w:rsidR="00D667DD" w:rsidRPr="00D667DD" w:rsidRDefault="00D667DD" w:rsidP="00D667DD">
      <w:pPr>
        <w:pStyle w:val="ListParagraph"/>
        <w:numPr>
          <w:ilvl w:val="0"/>
          <w:numId w:val="12"/>
        </w:numPr>
        <w:rPr>
          <w:sz w:val="20"/>
          <w:szCs w:val="20"/>
          <w:lang w:val="en-US"/>
        </w:rPr>
      </w:pPr>
      <w:r w:rsidRPr="00D667DD">
        <w:rPr>
          <w:sz w:val="20"/>
          <w:szCs w:val="20"/>
          <w:lang w:val="en-US"/>
        </w:rPr>
        <w:t>using three</w:t>
      </w:r>
      <w:r w:rsidR="00D7358E">
        <w:rPr>
          <w:sz w:val="20"/>
          <w:szCs w:val="20"/>
          <w:lang w:val="en-US"/>
        </w:rPr>
        <w:t>-</w:t>
      </w:r>
      <w:r w:rsidRPr="00D667DD">
        <w:rPr>
          <w:sz w:val="20"/>
          <w:szCs w:val="20"/>
          <w:lang w:val="en-US"/>
        </w:rPr>
        <w:t xml:space="preserve">dimensional (3D) geometry and modelling, identify potential pathways between the groundwater assets and the coal seams or excavations, including those that involve flow either across or along fault zones, and account </w:t>
      </w:r>
      <w:r w:rsidRPr="00D667DD">
        <w:rPr>
          <w:sz w:val="20"/>
          <w:szCs w:val="20"/>
          <w:lang w:val="en-US"/>
        </w:rPr>
        <w:t>for these potential pathways when assessing the possible impacts of the LCM or CSG development.</w:t>
      </w:r>
    </w:p>
    <w:p w14:paraId="49D70937" w14:textId="62D779D8" w:rsidR="00470D12" w:rsidRPr="00470D12" w:rsidRDefault="002B450B" w:rsidP="00470D12">
      <w:pPr>
        <w:pStyle w:val="ListParagraph"/>
        <w:numPr>
          <w:ilvl w:val="0"/>
          <w:numId w:val="12"/>
        </w:numPr>
        <w:rPr>
          <w:sz w:val="20"/>
          <w:szCs w:val="20"/>
          <w:lang w:val="en-US"/>
        </w:rPr>
      </w:pPr>
      <w:r>
        <w:rPr>
          <w:sz w:val="20"/>
          <w:szCs w:val="20"/>
          <w:lang w:val="en-US"/>
        </w:rPr>
        <w:t>undertake risk assessment of</w:t>
      </w:r>
      <w:r w:rsidR="00470D12" w:rsidRPr="00470D12">
        <w:rPr>
          <w:sz w:val="20"/>
          <w:szCs w:val="20"/>
          <w:lang w:val="en-US"/>
        </w:rPr>
        <w:t xml:space="preserve"> potential pathways between the groundwater assets and the coal seams or excavations, including those that involve flow either across or along fault zones.</w:t>
      </w:r>
    </w:p>
    <w:p w14:paraId="6476069C" w14:textId="65077790" w:rsidR="00B842C3" w:rsidRPr="00D667DD" w:rsidRDefault="00B842C3" w:rsidP="00D667DD">
      <w:pPr>
        <w:pStyle w:val="ListParagraph"/>
        <w:rPr>
          <w:sz w:val="20"/>
          <w:szCs w:val="20"/>
          <w:lang w:val="en-US"/>
        </w:rPr>
      </w:pPr>
    </w:p>
    <w:p w14:paraId="59996817" w14:textId="6967334B" w:rsidR="00035D75" w:rsidRPr="00EF3D0C" w:rsidRDefault="00035D75" w:rsidP="00EF3D0C">
      <w:pPr>
        <w:rPr>
          <w:sz w:val="20"/>
          <w:szCs w:val="20"/>
          <w:lang w:val="en-US"/>
        </w:rPr>
      </w:pPr>
      <w:r w:rsidRPr="00EF3D0C">
        <w:rPr>
          <w:sz w:val="20"/>
          <w:szCs w:val="20"/>
          <w:lang w:val="en-US"/>
        </w:rPr>
        <w:t>Case studies to</w:t>
      </w:r>
      <w:r w:rsidR="00D7358E">
        <w:rPr>
          <w:sz w:val="20"/>
          <w:szCs w:val="20"/>
          <w:lang w:val="en-US"/>
        </w:rPr>
        <w:t xml:space="preserve"> illustrate</w:t>
      </w:r>
      <w:r w:rsidR="00F73C34" w:rsidRPr="00EF3D0C">
        <w:rPr>
          <w:sz w:val="20"/>
          <w:szCs w:val="20"/>
          <w:lang w:val="en-US"/>
        </w:rPr>
        <w:t xml:space="preserve"> these steps </w:t>
      </w:r>
      <w:r w:rsidR="00EF3D0C">
        <w:rPr>
          <w:sz w:val="20"/>
          <w:szCs w:val="20"/>
          <w:lang w:val="en-US"/>
        </w:rPr>
        <w:t>are provided</w:t>
      </w:r>
      <w:r w:rsidR="00F73C34" w:rsidRPr="00EF3D0C">
        <w:rPr>
          <w:sz w:val="20"/>
          <w:szCs w:val="20"/>
          <w:lang w:val="en-US"/>
        </w:rPr>
        <w:t xml:space="preserve"> </w:t>
      </w:r>
      <w:r w:rsidR="00EF3D0C" w:rsidRPr="00EF3D0C">
        <w:rPr>
          <w:sz w:val="20"/>
          <w:szCs w:val="20"/>
          <w:lang w:val="en-US"/>
        </w:rPr>
        <w:t xml:space="preserve">in </w:t>
      </w:r>
      <w:r w:rsidR="00910077">
        <w:rPr>
          <w:sz w:val="20"/>
          <w:szCs w:val="20"/>
          <w:lang w:val="en-US"/>
        </w:rPr>
        <w:t>T</w:t>
      </w:r>
      <w:r w:rsidR="00EF3D0C" w:rsidRPr="00EF3D0C">
        <w:rPr>
          <w:sz w:val="20"/>
          <w:szCs w:val="20"/>
          <w:lang w:val="en-US"/>
        </w:rPr>
        <w:t xml:space="preserve">able </w:t>
      </w:r>
      <w:r w:rsidR="00910077">
        <w:rPr>
          <w:sz w:val="20"/>
          <w:szCs w:val="20"/>
          <w:lang w:val="en-US"/>
        </w:rPr>
        <w:t xml:space="preserve">1 </w:t>
      </w:r>
      <w:r w:rsidR="00EF3D0C" w:rsidRPr="00EF3D0C">
        <w:rPr>
          <w:sz w:val="20"/>
          <w:szCs w:val="20"/>
          <w:lang w:val="en-US"/>
        </w:rPr>
        <w:t>on the following page.</w:t>
      </w:r>
      <w:r w:rsidRPr="00EF3D0C">
        <w:rPr>
          <w:sz w:val="20"/>
          <w:szCs w:val="20"/>
          <w:lang w:val="en-US"/>
        </w:rPr>
        <w:t xml:space="preserve"> </w:t>
      </w:r>
    </w:p>
    <w:p w14:paraId="77E73A7F" w14:textId="6E91A8EE" w:rsidR="00EA5FBF" w:rsidRDefault="00EA5FBF" w:rsidP="004D3464">
      <w:pPr>
        <w:rPr>
          <w:sz w:val="20"/>
          <w:szCs w:val="20"/>
          <w:lang w:val="en-US"/>
        </w:rPr>
      </w:pPr>
    </w:p>
    <w:p w14:paraId="174968EF" w14:textId="77777777" w:rsidR="00EA5FBF" w:rsidRDefault="00EA5FBF" w:rsidP="004D3464">
      <w:pPr>
        <w:rPr>
          <w:sz w:val="20"/>
          <w:szCs w:val="20"/>
          <w:lang w:val="en-US"/>
        </w:rPr>
        <w:sectPr w:rsidR="00EA5FBF" w:rsidSect="007814E8">
          <w:type w:val="continuous"/>
          <w:pgSz w:w="11900" w:h="16840"/>
          <w:pgMar w:top="1701" w:right="1128" w:bottom="1871" w:left="1701" w:header="1134" w:footer="182" w:gutter="0"/>
          <w:cols w:num="2" w:space="708"/>
          <w:titlePg/>
          <w:docGrid w:linePitch="360"/>
        </w:sectPr>
      </w:pPr>
    </w:p>
    <w:p w14:paraId="53577AE0" w14:textId="1CAB6BBE" w:rsidR="00EA5FBF" w:rsidRDefault="00EA5FBF" w:rsidP="004D3464">
      <w:pPr>
        <w:rPr>
          <w:sz w:val="20"/>
          <w:szCs w:val="20"/>
          <w:lang w:val="en-US"/>
        </w:rPr>
      </w:pPr>
    </w:p>
    <w:p w14:paraId="2A1E8E45" w14:textId="77777777" w:rsidR="005B49B7" w:rsidRDefault="005B49B7" w:rsidP="004D3464">
      <w:pPr>
        <w:rPr>
          <w:sz w:val="20"/>
          <w:szCs w:val="20"/>
          <w:lang w:val="en-US"/>
        </w:rPr>
        <w:sectPr w:rsidR="005B49B7" w:rsidSect="007814E8">
          <w:type w:val="continuous"/>
          <w:pgSz w:w="11900" w:h="16840"/>
          <w:pgMar w:top="1701" w:right="1128" w:bottom="1871" w:left="1701" w:header="1134" w:footer="182" w:gutter="0"/>
          <w:cols w:num="2" w:space="708"/>
          <w:titlePg/>
          <w:docGrid w:linePitch="360"/>
        </w:sectPr>
      </w:pPr>
    </w:p>
    <w:p w14:paraId="7E66568A" w14:textId="7D52A776" w:rsidR="004828DD" w:rsidRDefault="004828DD" w:rsidP="00E157CA">
      <w:pPr>
        <w:pStyle w:val="Caption"/>
        <w:rPr>
          <w:noProof/>
        </w:rPr>
      </w:pPr>
      <w:r w:rsidRPr="004828DD">
        <w:rPr>
          <w:noProof/>
          <w:lang w:val="en-AU" w:eastAsia="en-AU"/>
        </w:rPr>
        <mc:AlternateContent>
          <mc:Choice Requires="wps">
            <w:drawing>
              <wp:anchor distT="0" distB="0" distL="114300" distR="114300" simplePos="0" relativeHeight="251658240" behindDoc="0" locked="0" layoutInCell="1" allowOverlap="1" wp14:anchorId="60B1BADF" wp14:editId="191A8E77">
                <wp:simplePos x="0" y="0"/>
                <wp:positionH relativeFrom="margin">
                  <wp:posOffset>1970116</wp:posOffset>
                </wp:positionH>
                <wp:positionV relativeFrom="page">
                  <wp:posOffset>5594042</wp:posOffset>
                </wp:positionV>
                <wp:extent cx="3606800" cy="878186"/>
                <wp:effectExtent l="0" t="0" r="0" b="0"/>
                <wp:wrapNone/>
                <wp:docPr id="3" name="Text Box 3"/>
                <wp:cNvGraphicFramePr/>
                <a:graphic xmlns:a="http://schemas.openxmlformats.org/drawingml/2006/main">
                  <a:graphicData uri="http://schemas.microsoft.com/office/word/2010/wordprocessingShape">
                    <wps:wsp>
                      <wps:cNvSpPr txBox="1"/>
                      <wps:spPr>
                        <a:xfrm>
                          <a:off x="0" y="0"/>
                          <a:ext cx="3606800" cy="878186"/>
                        </a:xfrm>
                        <a:prstGeom prst="rect">
                          <a:avLst/>
                        </a:prstGeom>
                        <a:solidFill>
                          <a:schemeClr val="bg1"/>
                        </a:solidFill>
                        <a:ln w="6350">
                          <a:noFill/>
                        </a:ln>
                      </wps:spPr>
                      <wps:txbx>
                        <w:txbxContent>
                          <w:p w14:paraId="0DA61190" w14:textId="77777777" w:rsidR="00583611" w:rsidRDefault="00B842C3" w:rsidP="00583611">
                            <w:pPr>
                              <w:pStyle w:val="Caption"/>
                            </w:pPr>
                            <w:r>
                              <w:t>Figure</w:t>
                            </w:r>
                            <w:r w:rsidR="00910077">
                              <w:t xml:space="preserve"> 1</w:t>
                            </w:r>
                            <w:r>
                              <w:t xml:space="preserve">: </w:t>
                            </w:r>
                            <w:r w:rsidR="00583611">
                              <w:t>Flow diagram for the geological assessment and the geological/hydrological assessment of fault related flow for a</w:t>
                            </w:r>
                          </w:p>
                          <w:p w14:paraId="201328C7" w14:textId="7D2AFE50" w:rsidR="00B842C3" w:rsidRPr="009914A8" w:rsidRDefault="00583611" w:rsidP="00583611">
                            <w:pPr>
                              <w:pStyle w:val="Caption"/>
                            </w:pPr>
                            <w:r>
                              <w:t>CSG or LCM development. The Explanatory Note focusses on the areas within the blue background (dark blue box)</w:t>
                            </w:r>
                            <w:r w:rsidR="00682DFD">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1BADF" id="_x0000_t202" coordsize="21600,21600" o:spt="202" path="m,l,21600r21600,l21600,xe">
                <v:stroke joinstyle="miter"/>
                <v:path gradientshapeok="t" o:connecttype="rect"/>
              </v:shapetype>
              <v:shape id="Text Box 3" o:spid="_x0000_s1026" type="#_x0000_t202" style="position:absolute;margin-left:155.15pt;margin-top:440.5pt;width:284pt;height:6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" fillcolor="white [3212]" stroked="f" strokeweight=".5pt">
                <v:textbox>
                  <w:txbxContent>
                    <w:p w14:paraId="0DA61190" w14:textId="77777777" w:rsidR="00583611" w:rsidRDefault="00B842C3" w:rsidP="00583611">
                      <w:pPr>
                        <w:pStyle w:val="Caption"/>
                      </w:pPr>
                      <w:r>
                        <w:t>Figure</w:t>
                      </w:r>
                      <w:r w:rsidR="00910077">
                        <w:t xml:space="preserve"> 1</w:t>
                      </w:r>
                      <w:r>
                        <w:t xml:space="preserve">: </w:t>
                      </w:r>
                      <w:r w:rsidR="00583611">
                        <w:t>Flow diagram for the geological assessment and the geological/hydrological assessment of fault related flow for a</w:t>
                      </w:r>
                    </w:p>
                    <w:p w14:paraId="201328C7" w14:textId="7D2AFE50" w:rsidR="00B842C3" w:rsidRPr="009914A8" w:rsidRDefault="00583611" w:rsidP="00583611">
                      <w:pPr>
                        <w:pStyle w:val="Caption"/>
                      </w:pPr>
                      <w:r>
                        <w:t>CSG or LCM development. The Explanatory Note focusses on the areas within the blue background (dark blue box)</w:t>
                      </w:r>
                      <w:r w:rsidR="00682DFD">
                        <w:t>.</w:t>
                      </w:r>
                    </w:p>
                  </w:txbxContent>
                </v:textbox>
                <w10:wrap anchorx="margin" anchory="page"/>
              </v:shape>
            </w:pict>
          </mc:Fallback>
        </mc:AlternateContent>
      </w:r>
      <w:r w:rsidR="00583611" w:rsidRPr="00583611">
        <w:rPr>
          <w:noProof/>
        </w:rPr>
        <w:t xml:space="preserve"> </w:t>
      </w:r>
      <w:r w:rsidR="00583611">
        <w:rPr>
          <w:noProof/>
          <w:lang w:val="en-AU" w:eastAsia="en-AU"/>
        </w:rPr>
        <w:drawing>
          <wp:inline distT="0" distB="0" distL="0" distR="0" wp14:anchorId="612C95EA" wp14:editId="17EF577B">
            <wp:extent cx="4060375" cy="288805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01881" cy="2988706"/>
                    </a:xfrm>
                    <a:prstGeom prst="rect">
                      <a:avLst/>
                    </a:prstGeom>
                  </pic:spPr>
                </pic:pic>
              </a:graphicData>
            </a:graphic>
          </wp:inline>
        </w:drawing>
      </w:r>
      <w:r w:rsidRPr="004828DD">
        <w:rPr>
          <w:noProof/>
        </w:rPr>
        <w:t xml:space="preserve"> </w:t>
      </w:r>
    </w:p>
    <w:p w14:paraId="71C6FB0B" w14:textId="37BE7518" w:rsidR="005B49B7" w:rsidRDefault="005B49B7" w:rsidP="00751662">
      <w:pPr>
        <w:rPr>
          <w:sz w:val="20"/>
          <w:szCs w:val="20"/>
          <w:highlight w:val="yellow"/>
          <w:lang w:val="en-US"/>
        </w:rPr>
        <w:sectPr w:rsidR="005B49B7" w:rsidSect="005B49B7">
          <w:type w:val="continuous"/>
          <w:pgSz w:w="11900" w:h="16840"/>
          <w:pgMar w:top="1701" w:right="1128" w:bottom="1871" w:left="1701" w:header="1134" w:footer="182" w:gutter="0"/>
          <w:cols w:space="708"/>
          <w:titlePg/>
          <w:docGrid w:linePitch="360"/>
        </w:sectPr>
      </w:pPr>
    </w:p>
    <w:p w14:paraId="61D06B6B" w14:textId="7144A6FC" w:rsidR="00EA5FBF" w:rsidRDefault="00EA5FBF" w:rsidP="00751662">
      <w:pPr>
        <w:rPr>
          <w:sz w:val="20"/>
          <w:szCs w:val="20"/>
          <w:highlight w:val="yellow"/>
          <w:lang w:val="en-US"/>
        </w:rPr>
      </w:pPr>
    </w:p>
    <w:p w14:paraId="3F4758AC" w14:textId="77777777" w:rsidR="00EA5FBF" w:rsidRDefault="00EA5FBF" w:rsidP="00751662">
      <w:pPr>
        <w:rPr>
          <w:sz w:val="20"/>
          <w:szCs w:val="20"/>
          <w:highlight w:val="yellow"/>
          <w:lang w:val="en-US"/>
        </w:rPr>
        <w:sectPr w:rsidR="00EA5FBF" w:rsidSect="007814E8">
          <w:type w:val="continuous"/>
          <w:pgSz w:w="11900" w:h="16840"/>
          <w:pgMar w:top="1701" w:right="1128" w:bottom="1871" w:left="1701" w:header="1134" w:footer="182" w:gutter="0"/>
          <w:cols w:num="2" w:space="708"/>
          <w:titlePg/>
          <w:docGrid w:linePitch="360"/>
        </w:sectPr>
      </w:pPr>
    </w:p>
    <w:p w14:paraId="7D6B2B77" w14:textId="77777777" w:rsidR="00751662" w:rsidRPr="001B783A" w:rsidRDefault="00751662" w:rsidP="00751662">
      <w:pPr>
        <w:spacing w:before="120" w:after="120"/>
        <w:rPr>
          <w:rFonts w:ascii="Calibri" w:hAnsi="Calibri" w:cs="Calibri"/>
          <w:b/>
          <w:color w:val="005695"/>
          <w:sz w:val="28"/>
          <w:szCs w:val="28"/>
          <w:lang w:val="en-US"/>
        </w:rPr>
      </w:pPr>
      <w:r w:rsidRPr="001B783A">
        <w:rPr>
          <w:rFonts w:ascii="Calibri" w:hAnsi="Calibri" w:cs="Calibri"/>
          <w:b/>
          <w:color w:val="005695"/>
          <w:sz w:val="28"/>
          <w:szCs w:val="28"/>
          <w:lang w:val="en-US"/>
        </w:rPr>
        <w:t xml:space="preserve">Key Recommendations </w:t>
      </w:r>
    </w:p>
    <w:p w14:paraId="136F7962" w14:textId="1FE4C0E6" w:rsidR="00751662" w:rsidRPr="004828DD" w:rsidRDefault="00751662" w:rsidP="00751662">
      <w:pPr>
        <w:rPr>
          <w:sz w:val="20"/>
          <w:szCs w:val="20"/>
          <w:lang w:val="en-US"/>
        </w:rPr>
      </w:pPr>
      <w:r w:rsidRPr="001B783A">
        <w:rPr>
          <w:sz w:val="20"/>
          <w:szCs w:val="20"/>
          <w:lang w:val="en-US"/>
        </w:rPr>
        <w:t>Th</w:t>
      </w:r>
      <w:r w:rsidR="00FB1A3C">
        <w:rPr>
          <w:sz w:val="20"/>
          <w:szCs w:val="20"/>
          <w:lang w:val="en-US"/>
        </w:rPr>
        <w:t>is</w:t>
      </w:r>
      <w:r w:rsidRPr="001B783A">
        <w:rPr>
          <w:sz w:val="20"/>
          <w:szCs w:val="20"/>
          <w:lang w:val="en-US"/>
        </w:rPr>
        <w:t xml:space="preserve"> </w:t>
      </w:r>
      <w:r w:rsidR="00EF3D0C" w:rsidRPr="001B783A">
        <w:rPr>
          <w:sz w:val="20"/>
          <w:szCs w:val="20"/>
          <w:lang w:val="en-US"/>
        </w:rPr>
        <w:t>E</w:t>
      </w:r>
      <w:r w:rsidRPr="001B783A">
        <w:rPr>
          <w:sz w:val="20"/>
          <w:szCs w:val="20"/>
          <w:lang w:val="en-US"/>
        </w:rPr>
        <w:t xml:space="preserve">xplanatory </w:t>
      </w:r>
      <w:r w:rsidR="00EF3D0C" w:rsidRPr="001B783A">
        <w:rPr>
          <w:sz w:val="20"/>
          <w:szCs w:val="20"/>
          <w:lang w:val="en-US"/>
        </w:rPr>
        <w:t>N</w:t>
      </w:r>
      <w:r w:rsidRPr="001B783A">
        <w:rPr>
          <w:sz w:val="20"/>
          <w:szCs w:val="20"/>
          <w:lang w:val="en-US"/>
        </w:rPr>
        <w:t>ote presents</w:t>
      </w:r>
      <w:r w:rsidRPr="0050077D">
        <w:rPr>
          <w:sz w:val="20"/>
          <w:szCs w:val="20"/>
          <w:lang w:val="en-US"/>
        </w:rPr>
        <w:t xml:space="preserve"> several recommendations. The key ones </w:t>
      </w:r>
      <w:r w:rsidRPr="004828DD">
        <w:rPr>
          <w:sz w:val="20"/>
          <w:szCs w:val="20"/>
          <w:lang w:val="en-US"/>
        </w:rPr>
        <w:t>include:</w:t>
      </w:r>
    </w:p>
    <w:p w14:paraId="56C680F7" w14:textId="25C8FBF7" w:rsidR="00B02E5E" w:rsidRPr="004828DD" w:rsidRDefault="00FB1A3C" w:rsidP="00751662">
      <w:pPr>
        <w:pStyle w:val="ListParagraph"/>
        <w:numPr>
          <w:ilvl w:val="0"/>
          <w:numId w:val="13"/>
        </w:numPr>
        <w:rPr>
          <w:sz w:val="20"/>
          <w:szCs w:val="20"/>
          <w:lang w:val="en-US"/>
        </w:rPr>
      </w:pPr>
      <w:r w:rsidRPr="004828DD">
        <w:rPr>
          <w:sz w:val="20"/>
          <w:szCs w:val="20"/>
          <w:lang w:val="en-US"/>
        </w:rPr>
        <w:t>a</w:t>
      </w:r>
      <w:r w:rsidR="00B02E5E" w:rsidRPr="004828DD">
        <w:rPr>
          <w:sz w:val="20"/>
          <w:szCs w:val="20"/>
          <w:lang w:val="en-US"/>
        </w:rPr>
        <w:t xml:space="preserve">n environmental impact statement should specifically assess the likelihood </w:t>
      </w:r>
      <w:r w:rsidR="003A6651" w:rsidRPr="004828DD">
        <w:rPr>
          <w:sz w:val="20"/>
          <w:szCs w:val="20"/>
          <w:lang w:val="en-US"/>
        </w:rPr>
        <w:t>that</w:t>
      </w:r>
      <w:r w:rsidR="00B02E5E" w:rsidRPr="004828DD">
        <w:rPr>
          <w:sz w:val="20"/>
          <w:szCs w:val="20"/>
          <w:lang w:val="en-US"/>
        </w:rPr>
        <w:t xml:space="preserve"> faults could be a connective flow </w:t>
      </w:r>
      <w:proofErr w:type="gramStart"/>
      <w:r w:rsidR="00B02E5E" w:rsidRPr="004828DD">
        <w:rPr>
          <w:sz w:val="20"/>
          <w:szCs w:val="20"/>
          <w:lang w:val="en-US"/>
        </w:rPr>
        <w:t>pathway, and</w:t>
      </w:r>
      <w:proofErr w:type="gramEnd"/>
      <w:r w:rsidR="00B02E5E" w:rsidRPr="004828DD">
        <w:rPr>
          <w:sz w:val="20"/>
          <w:szCs w:val="20"/>
          <w:lang w:val="en-US"/>
        </w:rPr>
        <w:t xml:space="preserve"> assess the potential consequences on groundwater assets and GDEs.</w:t>
      </w:r>
    </w:p>
    <w:p w14:paraId="5997AE54" w14:textId="545F4C36" w:rsidR="00B02E5E" w:rsidRPr="004828DD" w:rsidRDefault="00FB1A3C" w:rsidP="001B783A">
      <w:pPr>
        <w:pStyle w:val="ListParagraph"/>
        <w:numPr>
          <w:ilvl w:val="0"/>
          <w:numId w:val="13"/>
        </w:numPr>
        <w:rPr>
          <w:sz w:val="20"/>
          <w:szCs w:val="20"/>
          <w:lang w:val="en-US"/>
        </w:rPr>
      </w:pPr>
      <w:r w:rsidRPr="004828DD">
        <w:rPr>
          <w:sz w:val="20"/>
          <w:szCs w:val="20"/>
          <w:lang w:val="en-US"/>
        </w:rPr>
        <w:t>t</w:t>
      </w:r>
      <w:r w:rsidR="00230063" w:rsidRPr="004828DD">
        <w:rPr>
          <w:sz w:val="20"/>
          <w:szCs w:val="20"/>
          <w:lang w:val="en-US"/>
        </w:rPr>
        <w:t xml:space="preserve">o realistically assess the risk of coal </w:t>
      </w:r>
      <w:r w:rsidR="00D7358E" w:rsidRPr="004828DD">
        <w:rPr>
          <w:sz w:val="20"/>
          <w:szCs w:val="20"/>
          <w:lang w:val="en-US"/>
        </w:rPr>
        <w:t xml:space="preserve">development </w:t>
      </w:r>
      <w:r w:rsidR="001B783A" w:rsidRPr="004828DD">
        <w:rPr>
          <w:sz w:val="20"/>
          <w:szCs w:val="20"/>
          <w:lang w:val="en-US"/>
        </w:rPr>
        <w:t>projects</w:t>
      </w:r>
      <w:r w:rsidR="00230063" w:rsidRPr="004828DD">
        <w:rPr>
          <w:sz w:val="20"/>
          <w:szCs w:val="20"/>
          <w:lang w:val="en-US"/>
        </w:rPr>
        <w:t xml:space="preserve">, </w:t>
      </w:r>
      <w:r w:rsidR="001B783A" w:rsidRPr="004828DD">
        <w:rPr>
          <w:sz w:val="20"/>
          <w:szCs w:val="20"/>
          <w:lang w:val="en-US"/>
        </w:rPr>
        <w:t xml:space="preserve">a </w:t>
      </w:r>
      <w:r w:rsidR="006007E9" w:rsidRPr="004828DD">
        <w:rPr>
          <w:sz w:val="20"/>
          <w:szCs w:val="20"/>
          <w:lang w:val="en-US"/>
        </w:rPr>
        <w:t>geologically consistent 3D model of the position of the major assets, fault zones, aquifers, aquitards, and the</w:t>
      </w:r>
      <w:r w:rsidR="008648A9" w:rsidRPr="004828DD">
        <w:rPr>
          <w:sz w:val="20"/>
          <w:szCs w:val="20"/>
          <w:lang w:val="en-US"/>
        </w:rPr>
        <w:t xml:space="preserve"> proposed</w:t>
      </w:r>
      <w:r w:rsidR="006007E9" w:rsidRPr="004828DD">
        <w:rPr>
          <w:sz w:val="20"/>
          <w:szCs w:val="20"/>
          <w:lang w:val="en-US"/>
        </w:rPr>
        <w:t xml:space="preserve"> excavations </w:t>
      </w:r>
      <w:r w:rsidR="008648A9" w:rsidRPr="004828DD">
        <w:rPr>
          <w:sz w:val="20"/>
          <w:szCs w:val="20"/>
          <w:lang w:val="en-US"/>
        </w:rPr>
        <w:t xml:space="preserve">or wells </w:t>
      </w:r>
      <w:r w:rsidR="003A6651" w:rsidRPr="004828DD">
        <w:rPr>
          <w:sz w:val="20"/>
          <w:szCs w:val="20"/>
          <w:lang w:val="en-US"/>
        </w:rPr>
        <w:t>should</w:t>
      </w:r>
      <w:r w:rsidR="006007E9" w:rsidRPr="004828DD">
        <w:rPr>
          <w:sz w:val="20"/>
          <w:szCs w:val="20"/>
          <w:lang w:val="en-US"/>
        </w:rPr>
        <w:t xml:space="preserve"> be developed.</w:t>
      </w:r>
    </w:p>
    <w:p w14:paraId="349A2023" w14:textId="4AE70BEE" w:rsidR="003E019F" w:rsidRPr="004828DD" w:rsidRDefault="00097CA9" w:rsidP="003E019F">
      <w:pPr>
        <w:pStyle w:val="ListParagraph"/>
        <w:numPr>
          <w:ilvl w:val="0"/>
          <w:numId w:val="13"/>
        </w:numPr>
        <w:rPr>
          <w:sz w:val="20"/>
          <w:szCs w:val="20"/>
          <w:lang w:val="en-US"/>
        </w:rPr>
      </w:pPr>
      <w:r w:rsidRPr="004828DD">
        <w:rPr>
          <w:sz w:val="20"/>
          <w:szCs w:val="20"/>
          <w:lang w:val="en-US"/>
        </w:rPr>
        <w:t>a</w:t>
      </w:r>
      <w:r w:rsidR="003E019F" w:rsidRPr="004828DD">
        <w:rPr>
          <w:sz w:val="20"/>
          <w:szCs w:val="20"/>
          <w:lang w:val="en-US"/>
        </w:rPr>
        <w:t xml:space="preserve"> complete assessment of the </w:t>
      </w:r>
      <w:bookmarkStart w:id="0" w:name="_Hlk44578721"/>
      <w:r w:rsidR="003E019F" w:rsidRPr="004828DD">
        <w:rPr>
          <w:sz w:val="20"/>
          <w:szCs w:val="20"/>
          <w:lang w:val="en-US"/>
        </w:rPr>
        <w:t>pre-development, development and the post-</w:t>
      </w:r>
      <w:r w:rsidR="003E019F" w:rsidRPr="004828DD">
        <w:rPr>
          <w:sz w:val="20"/>
          <w:szCs w:val="20"/>
          <w:lang w:val="en-US"/>
        </w:rPr>
        <w:t>development</w:t>
      </w:r>
      <w:bookmarkEnd w:id="0"/>
      <w:r w:rsidR="003E019F" w:rsidRPr="004828DD">
        <w:rPr>
          <w:sz w:val="20"/>
          <w:szCs w:val="20"/>
          <w:lang w:val="en-US"/>
        </w:rPr>
        <w:t xml:space="preserve"> flow pathways </w:t>
      </w:r>
      <w:r w:rsidR="0088230B" w:rsidRPr="004828DD">
        <w:rPr>
          <w:sz w:val="20"/>
          <w:szCs w:val="20"/>
          <w:lang w:val="en-US"/>
        </w:rPr>
        <w:t xml:space="preserve">is required to fully understand </w:t>
      </w:r>
      <w:r w:rsidR="00FB1A3C" w:rsidRPr="004828DD">
        <w:rPr>
          <w:sz w:val="20"/>
          <w:szCs w:val="20"/>
          <w:lang w:val="en-US"/>
        </w:rPr>
        <w:t xml:space="preserve">the </w:t>
      </w:r>
      <w:r w:rsidR="0088230B" w:rsidRPr="004828DD">
        <w:rPr>
          <w:sz w:val="20"/>
          <w:szCs w:val="20"/>
          <w:lang w:val="en-US"/>
        </w:rPr>
        <w:t>risks from the development.</w:t>
      </w:r>
    </w:p>
    <w:p w14:paraId="06EC24FA" w14:textId="2078EEB8" w:rsidR="00D667DD" w:rsidRPr="004828DD" w:rsidRDefault="00D667DD" w:rsidP="00D667DD">
      <w:pPr>
        <w:pStyle w:val="ListParagraph"/>
        <w:numPr>
          <w:ilvl w:val="0"/>
          <w:numId w:val="13"/>
        </w:numPr>
        <w:rPr>
          <w:sz w:val="20"/>
          <w:szCs w:val="20"/>
          <w:lang w:val="en-US"/>
        </w:rPr>
      </w:pPr>
      <w:r w:rsidRPr="004828DD">
        <w:rPr>
          <w:sz w:val="20"/>
          <w:szCs w:val="20"/>
          <w:lang w:val="en-US"/>
        </w:rPr>
        <w:t>the risk assessment should consider uncertainties in the 3D geometry model, the hydrogeological model (including uncertainties in the predicted rates and magnitudes of flow), and the</w:t>
      </w:r>
      <w:r w:rsidR="00131B84" w:rsidRPr="004828DD">
        <w:rPr>
          <w:sz w:val="20"/>
          <w:szCs w:val="20"/>
          <w:lang w:val="en-US"/>
        </w:rPr>
        <w:t xml:space="preserve"> </w:t>
      </w:r>
      <w:proofErr w:type="spellStart"/>
      <w:r w:rsidR="00131B84" w:rsidRPr="004828DD">
        <w:rPr>
          <w:sz w:val="20"/>
          <w:szCs w:val="20"/>
          <w:lang w:val="en-US"/>
        </w:rPr>
        <w:t>characterisation</w:t>
      </w:r>
      <w:proofErr w:type="spellEnd"/>
      <w:r w:rsidR="0046038D" w:rsidRPr="004828DD">
        <w:rPr>
          <w:sz w:val="20"/>
          <w:szCs w:val="20"/>
          <w:lang w:val="en-US"/>
        </w:rPr>
        <w:t xml:space="preserve"> of </w:t>
      </w:r>
      <w:r w:rsidRPr="004828DD">
        <w:rPr>
          <w:sz w:val="20"/>
          <w:szCs w:val="20"/>
          <w:lang w:val="en-US"/>
        </w:rPr>
        <w:t>flow paths that were selected for analysis.</w:t>
      </w:r>
    </w:p>
    <w:p w14:paraId="2A0A347C" w14:textId="3927321C" w:rsidR="004140A6" w:rsidRPr="004828DD" w:rsidRDefault="007E65C3" w:rsidP="004828DD">
      <w:pPr>
        <w:pStyle w:val="ListParagraph"/>
        <w:numPr>
          <w:ilvl w:val="0"/>
          <w:numId w:val="13"/>
        </w:numPr>
        <w:rPr>
          <w:lang w:val="en-US"/>
        </w:rPr>
      </w:pPr>
      <w:r w:rsidRPr="004828DD">
        <w:rPr>
          <w:rFonts w:cstheme="minorHAnsi"/>
          <w:sz w:val="20"/>
          <w:szCs w:val="20"/>
        </w:rPr>
        <w:t>r</w:t>
      </w:r>
      <w:r w:rsidR="00330AEF" w:rsidRPr="004828DD">
        <w:rPr>
          <w:rFonts w:cstheme="minorHAnsi"/>
          <w:sz w:val="20"/>
          <w:szCs w:val="20"/>
        </w:rPr>
        <w:t xml:space="preserve">epresentation of fault zone hydrogeology in numerical models ranges from simple to complex. </w:t>
      </w:r>
      <w:r w:rsidR="00176D35" w:rsidRPr="004828DD">
        <w:rPr>
          <w:rFonts w:cstheme="minorHAnsi"/>
          <w:sz w:val="20"/>
          <w:szCs w:val="20"/>
        </w:rPr>
        <w:t>While d</w:t>
      </w:r>
      <w:r w:rsidR="00832788" w:rsidRPr="004828DD">
        <w:rPr>
          <w:rFonts w:cstheme="minorHAnsi"/>
          <w:sz w:val="20"/>
          <w:szCs w:val="20"/>
        </w:rPr>
        <w:t>ifferent types of</w:t>
      </w:r>
      <w:r w:rsidR="00330AEF" w:rsidRPr="004828DD">
        <w:rPr>
          <w:rFonts w:cstheme="minorHAnsi"/>
          <w:sz w:val="20"/>
          <w:szCs w:val="20"/>
        </w:rPr>
        <w:t xml:space="preserve"> modelling approaches </w:t>
      </w:r>
      <w:r w:rsidR="00832788" w:rsidRPr="004828DD">
        <w:rPr>
          <w:rFonts w:cstheme="minorHAnsi"/>
          <w:sz w:val="20"/>
          <w:szCs w:val="20"/>
        </w:rPr>
        <w:t>can be used to represent faults</w:t>
      </w:r>
      <w:r w:rsidR="00176D35" w:rsidRPr="004828DD">
        <w:rPr>
          <w:rFonts w:cstheme="minorHAnsi"/>
          <w:sz w:val="20"/>
          <w:szCs w:val="20"/>
        </w:rPr>
        <w:t xml:space="preserve">, </w:t>
      </w:r>
      <w:r w:rsidR="00330AEF" w:rsidRPr="004828DD">
        <w:rPr>
          <w:rFonts w:cstheme="minorHAnsi"/>
          <w:sz w:val="20"/>
          <w:szCs w:val="20"/>
        </w:rPr>
        <w:t xml:space="preserve">history matching and </w:t>
      </w:r>
      <w:r w:rsidR="00890459" w:rsidRPr="004828DD">
        <w:rPr>
          <w:rFonts w:cstheme="minorHAnsi"/>
          <w:sz w:val="20"/>
          <w:szCs w:val="20"/>
        </w:rPr>
        <w:t xml:space="preserve">quantification of </w:t>
      </w:r>
      <w:r w:rsidR="00330AEF" w:rsidRPr="004828DD">
        <w:rPr>
          <w:rFonts w:cstheme="minorHAnsi"/>
          <w:sz w:val="20"/>
          <w:szCs w:val="20"/>
        </w:rPr>
        <w:t xml:space="preserve">uncertainty </w:t>
      </w:r>
      <w:r w:rsidR="00890459" w:rsidRPr="004828DD">
        <w:rPr>
          <w:rFonts w:cstheme="minorHAnsi"/>
          <w:sz w:val="20"/>
          <w:szCs w:val="20"/>
        </w:rPr>
        <w:t xml:space="preserve">should be </w:t>
      </w:r>
      <w:r w:rsidRPr="004828DD">
        <w:rPr>
          <w:rFonts w:cstheme="minorHAnsi"/>
          <w:sz w:val="20"/>
          <w:szCs w:val="20"/>
        </w:rPr>
        <w:t xml:space="preserve">part of the modelling process. </w:t>
      </w:r>
    </w:p>
    <w:p w14:paraId="2FFA91D0" w14:textId="384AD640" w:rsidR="004140A6" w:rsidRPr="004140A6" w:rsidRDefault="004140A6" w:rsidP="004140A6">
      <w:pPr>
        <w:rPr>
          <w:highlight w:val="yellow"/>
          <w:lang w:val="en-US"/>
        </w:rPr>
        <w:sectPr w:rsidR="004140A6" w:rsidRPr="004140A6" w:rsidSect="007814E8">
          <w:type w:val="continuous"/>
          <w:pgSz w:w="11900" w:h="16840"/>
          <w:pgMar w:top="1701" w:right="1128" w:bottom="1871" w:left="1701" w:header="1134" w:footer="182" w:gutter="0"/>
          <w:cols w:num="2" w:space="708"/>
          <w:titlePg/>
          <w:docGrid w:linePitch="360"/>
        </w:sectPr>
      </w:pPr>
    </w:p>
    <w:p w14:paraId="094BCBDF" w14:textId="77777777" w:rsidR="00EF3D0C" w:rsidRDefault="00EF3D0C" w:rsidP="00751662">
      <w:pPr>
        <w:pStyle w:val="Heading1"/>
        <w:spacing w:before="0"/>
        <w:sectPr w:rsidR="00EF3D0C" w:rsidSect="00BF6F45">
          <w:headerReference w:type="even" r:id="rId22"/>
          <w:headerReference w:type="default" r:id="rId23"/>
          <w:footerReference w:type="default" r:id="rId24"/>
          <w:headerReference w:type="first" r:id="rId25"/>
          <w:footerReference w:type="first" r:id="rId26"/>
          <w:type w:val="continuous"/>
          <w:pgSz w:w="11900" w:h="16840"/>
          <w:pgMar w:top="1701" w:right="1128" w:bottom="1871" w:left="1701" w:header="1134" w:footer="84" w:gutter="0"/>
          <w:cols w:space="708"/>
          <w:titlePg/>
          <w:docGrid w:linePitch="360"/>
        </w:sectPr>
      </w:pPr>
    </w:p>
    <w:p w14:paraId="01C84A32" w14:textId="42CE4ABC" w:rsidR="00425B05" w:rsidRPr="002220D7" w:rsidRDefault="004C705B" w:rsidP="004C705B">
      <w:pPr>
        <w:pStyle w:val="Heading1"/>
        <w:spacing w:before="240"/>
        <w:rPr>
          <w:sz w:val="22"/>
          <w:szCs w:val="22"/>
        </w:rPr>
      </w:pPr>
      <w:r w:rsidRPr="002220D7">
        <w:rPr>
          <w:sz w:val="22"/>
          <w:szCs w:val="22"/>
        </w:rPr>
        <w:lastRenderedPageBreak/>
        <w:t xml:space="preserve">Table </w:t>
      </w:r>
      <w:r w:rsidR="005129C1" w:rsidRPr="002220D7">
        <w:rPr>
          <w:sz w:val="22"/>
          <w:szCs w:val="22"/>
        </w:rPr>
        <w:t>1</w:t>
      </w:r>
      <w:r w:rsidRPr="002220D7">
        <w:rPr>
          <w:sz w:val="22"/>
          <w:szCs w:val="22"/>
        </w:rPr>
        <w:t>: Case studies/scenarios that illustrate differing situations and fault risk character.</w:t>
      </w:r>
    </w:p>
    <w:tbl>
      <w:tblPr>
        <w:tblStyle w:val="TableGrid"/>
        <w:tblW w:w="5000" w:type="pct"/>
        <w:tblLook w:val="04A0" w:firstRow="1" w:lastRow="0" w:firstColumn="1" w:lastColumn="0" w:noHBand="0" w:noVBand="1"/>
      </w:tblPr>
      <w:tblGrid>
        <w:gridCol w:w="1811"/>
        <w:gridCol w:w="2151"/>
        <w:gridCol w:w="2554"/>
        <w:gridCol w:w="5666"/>
        <w:gridCol w:w="10179"/>
      </w:tblGrid>
      <w:tr w:rsidR="002220D7" w:rsidRPr="006F4023" w14:paraId="3A5323FF" w14:textId="77777777" w:rsidTr="0056777C">
        <w:trPr>
          <w:trHeight w:val="558"/>
        </w:trPr>
        <w:tc>
          <w:tcPr>
            <w:tcW w:w="405" w:type="pct"/>
            <w:tcBorders>
              <w:bottom w:val="single" w:sz="4" w:space="0" w:color="auto"/>
            </w:tcBorders>
            <w:shd w:val="clear" w:color="auto" w:fill="2F5496" w:themeFill="accent1" w:themeFillShade="BF"/>
          </w:tcPr>
          <w:p w14:paraId="46E61D0C" w14:textId="77777777" w:rsidR="002220D7" w:rsidRPr="006F4023" w:rsidRDefault="002220D7" w:rsidP="0056777C">
            <w:pPr>
              <w:pStyle w:val="TableHeaderRow"/>
              <w:rPr>
                <w:b w:val="0"/>
                <w:lang w:val="en-AU"/>
              </w:rPr>
            </w:pPr>
            <w:r w:rsidRPr="006F4023">
              <w:rPr>
                <w:b w:val="0"/>
                <w:lang w:val="en-AU"/>
              </w:rPr>
              <w:t xml:space="preserve">Case Studies </w:t>
            </w:r>
          </w:p>
        </w:tc>
        <w:tc>
          <w:tcPr>
            <w:tcW w:w="481" w:type="pct"/>
            <w:shd w:val="clear" w:color="auto" w:fill="2F5496" w:themeFill="accent1" w:themeFillShade="BF"/>
          </w:tcPr>
          <w:p w14:paraId="04F539B1" w14:textId="77777777" w:rsidR="002220D7" w:rsidRPr="006F4023" w:rsidRDefault="002220D7" w:rsidP="0056777C">
            <w:pPr>
              <w:pStyle w:val="TableHeaderRow"/>
              <w:rPr>
                <w:b w:val="0"/>
                <w:lang w:val="en-AU"/>
              </w:rPr>
            </w:pPr>
            <w:r w:rsidRPr="006F4023">
              <w:rPr>
                <w:b w:val="0"/>
                <w:lang w:val="en-AU"/>
              </w:rPr>
              <w:t>Diagnostic for Scenario</w:t>
            </w:r>
          </w:p>
        </w:tc>
        <w:tc>
          <w:tcPr>
            <w:tcW w:w="571" w:type="pct"/>
            <w:shd w:val="clear" w:color="auto" w:fill="2F5496" w:themeFill="accent1" w:themeFillShade="BF"/>
          </w:tcPr>
          <w:p w14:paraId="4EB2F718" w14:textId="77777777" w:rsidR="002220D7" w:rsidRPr="006F4023" w:rsidRDefault="002220D7" w:rsidP="0056777C">
            <w:pPr>
              <w:pStyle w:val="TableHeaderRow"/>
              <w:rPr>
                <w:b w:val="0"/>
                <w:lang w:val="en-AU"/>
              </w:rPr>
            </w:pPr>
            <w:r w:rsidRPr="006F4023">
              <w:rPr>
                <w:b w:val="0"/>
                <w:lang w:val="en-AU"/>
              </w:rPr>
              <w:t>Fault Flow Groundwater Phenomena</w:t>
            </w:r>
          </w:p>
        </w:tc>
        <w:tc>
          <w:tcPr>
            <w:tcW w:w="1267" w:type="pct"/>
            <w:shd w:val="clear" w:color="auto" w:fill="2F5496" w:themeFill="accent1" w:themeFillShade="BF"/>
          </w:tcPr>
          <w:p w14:paraId="42BE2B9C" w14:textId="77777777" w:rsidR="002220D7" w:rsidRPr="006F4023" w:rsidRDefault="002220D7" w:rsidP="0056777C">
            <w:pPr>
              <w:pStyle w:val="TableHeaderRow"/>
              <w:rPr>
                <w:b w:val="0"/>
                <w:lang w:val="en-AU"/>
              </w:rPr>
            </w:pPr>
            <w:r w:rsidRPr="006F4023">
              <w:rPr>
                <w:b w:val="0"/>
                <w:lang w:val="en-AU"/>
              </w:rPr>
              <w:t>Site Based Evidence and Geological Products to Justify the Choice of this Scenario</w:t>
            </w:r>
          </w:p>
        </w:tc>
        <w:tc>
          <w:tcPr>
            <w:tcW w:w="2276" w:type="pct"/>
            <w:shd w:val="clear" w:color="auto" w:fill="2F5496" w:themeFill="accent1" w:themeFillShade="BF"/>
          </w:tcPr>
          <w:p w14:paraId="149BDBFD" w14:textId="77777777" w:rsidR="002220D7" w:rsidRPr="006F4023" w:rsidRDefault="002220D7" w:rsidP="0056777C">
            <w:pPr>
              <w:pStyle w:val="TableHeaderRow"/>
              <w:rPr>
                <w:b w:val="0"/>
                <w:lang w:val="en-AU"/>
              </w:rPr>
            </w:pPr>
            <w:r w:rsidRPr="006F4023">
              <w:rPr>
                <w:b w:val="0"/>
                <w:lang w:val="en-AU"/>
              </w:rPr>
              <w:t>Suggested Approaches for Characterisation of Uncertainty for Risk</w:t>
            </w:r>
          </w:p>
        </w:tc>
      </w:tr>
      <w:tr w:rsidR="002220D7" w:rsidRPr="006F4023" w14:paraId="186D53C6" w14:textId="77777777" w:rsidTr="0056777C">
        <w:trPr>
          <w:trHeight w:val="888"/>
        </w:trPr>
        <w:tc>
          <w:tcPr>
            <w:tcW w:w="405" w:type="pct"/>
          </w:tcPr>
          <w:p w14:paraId="2298B220" w14:textId="77777777" w:rsidR="002220D7" w:rsidRPr="006F4023" w:rsidRDefault="002220D7" w:rsidP="0056777C">
            <w:pPr>
              <w:pStyle w:val="TableText"/>
              <w:rPr>
                <w:b/>
                <w:bCs/>
                <w:lang w:val="en-AU"/>
              </w:rPr>
            </w:pPr>
            <w:r w:rsidRPr="006F4023">
              <w:rPr>
                <w:b/>
                <w:bCs/>
                <w:lang w:val="en-AU"/>
              </w:rPr>
              <w:t>Scenario A-1 - Faults are unlikely to affect groundwater flow</w:t>
            </w:r>
          </w:p>
          <w:p w14:paraId="56F629D9" w14:textId="77777777" w:rsidR="002220D7" w:rsidRPr="006F4023" w:rsidRDefault="002220D7" w:rsidP="0056777C">
            <w:pPr>
              <w:pStyle w:val="TableText"/>
              <w:rPr>
                <w:lang w:val="en-AU"/>
              </w:rPr>
            </w:pPr>
          </w:p>
        </w:tc>
        <w:tc>
          <w:tcPr>
            <w:tcW w:w="481" w:type="pct"/>
          </w:tcPr>
          <w:p w14:paraId="3CB05AD3" w14:textId="77777777" w:rsidR="002220D7" w:rsidRPr="006F4023" w:rsidRDefault="002220D7" w:rsidP="0056777C">
            <w:pPr>
              <w:pStyle w:val="TableText"/>
              <w:rPr>
                <w:lang w:val="en-AU"/>
              </w:rPr>
            </w:pPr>
            <w:r w:rsidRPr="006F4023">
              <w:rPr>
                <w:b/>
                <w:lang w:val="en-AU"/>
              </w:rPr>
              <w:t>There are no faults.</w:t>
            </w:r>
          </w:p>
        </w:tc>
        <w:tc>
          <w:tcPr>
            <w:tcW w:w="571" w:type="pct"/>
          </w:tcPr>
          <w:p w14:paraId="54992732" w14:textId="77777777" w:rsidR="002220D7" w:rsidRPr="006F4023" w:rsidRDefault="002220D7" w:rsidP="002220D7">
            <w:pPr>
              <w:pStyle w:val="TableText"/>
              <w:numPr>
                <w:ilvl w:val="0"/>
                <w:numId w:val="16"/>
              </w:numPr>
              <w:rPr>
                <w:lang w:val="en-AU"/>
              </w:rPr>
            </w:pPr>
            <w:r w:rsidRPr="006F4023">
              <w:rPr>
                <w:lang w:val="en-AU"/>
              </w:rPr>
              <w:t xml:space="preserve">No faults and/or few faults with negligible displacement. </w:t>
            </w:r>
          </w:p>
        </w:tc>
        <w:tc>
          <w:tcPr>
            <w:tcW w:w="1267" w:type="pct"/>
          </w:tcPr>
          <w:p w14:paraId="12817B24" w14:textId="77777777" w:rsidR="002220D7" w:rsidRPr="006F4023" w:rsidRDefault="002220D7" w:rsidP="002220D7">
            <w:pPr>
              <w:pStyle w:val="TableText"/>
              <w:numPr>
                <w:ilvl w:val="0"/>
                <w:numId w:val="16"/>
              </w:numPr>
              <w:rPr>
                <w:lang w:val="en-AU"/>
              </w:rPr>
            </w:pPr>
            <w:r w:rsidRPr="006F4023">
              <w:rPr>
                <w:lang w:val="en-AU"/>
              </w:rPr>
              <w:t>Documentation of flat lying or essentially undeformed stratigraphy.</w:t>
            </w:r>
          </w:p>
          <w:p w14:paraId="0C5DBC9E" w14:textId="77777777" w:rsidR="002220D7" w:rsidRPr="006F4023" w:rsidRDefault="002220D7" w:rsidP="002220D7">
            <w:pPr>
              <w:pStyle w:val="TableText"/>
              <w:numPr>
                <w:ilvl w:val="0"/>
                <w:numId w:val="16"/>
              </w:numPr>
              <w:rPr>
                <w:lang w:val="en-AU"/>
              </w:rPr>
            </w:pPr>
            <w:r w:rsidRPr="006F4023">
              <w:rPr>
                <w:lang w:val="en-AU"/>
              </w:rPr>
              <w:t>Present a regional geological model, as a series of cross sections parallel and perpendicular to strike, that illustrate the relative lack of faults in the region.</w:t>
            </w:r>
          </w:p>
        </w:tc>
        <w:tc>
          <w:tcPr>
            <w:tcW w:w="2276" w:type="pct"/>
          </w:tcPr>
          <w:p w14:paraId="0319B725" w14:textId="77777777" w:rsidR="002220D7" w:rsidRPr="006F4023" w:rsidRDefault="002220D7" w:rsidP="002220D7">
            <w:pPr>
              <w:pStyle w:val="TableText"/>
              <w:numPr>
                <w:ilvl w:val="0"/>
                <w:numId w:val="16"/>
              </w:numPr>
              <w:ind w:right="692"/>
              <w:rPr>
                <w:b/>
                <w:bCs/>
                <w:lang w:val="en-AU"/>
              </w:rPr>
            </w:pPr>
            <w:r w:rsidRPr="006F4023">
              <w:rPr>
                <w:lang w:val="en-AU"/>
              </w:rPr>
              <w:t xml:space="preserve">Assess the likelihood that faults exist that have not been observed. </w:t>
            </w:r>
          </w:p>
          <w:p w14:paraId="0C93AD55" w14:textId="77777777" w:rsidR="002220D7" w:rsidRPr="006F4023" w:rsidRDefault="002220D7" w:rsidP="002220D7">
            <w:pPr>
              <w:pStyle w:val="TableText"/>
              <w:numPr>
                <w:ilvl w:val="0"/>
                <w:numId w:val="16"/>
              </w:numPr>
              <w:rPr>
                <w:b/>
                <w:bCs/>
                <w:lang w:val="en-AU"/>
              </w:rPr>
            </w:pPr>
            <w:r w:rsidRPr="006F4023">
              <w:rPr>
                <w:lang w:val="en-AU"/>
              </w:rPr>
              <w:t>If needed, use one of the following scenarios to characterise the probability of critical repercussions of an unobserved fault on predicted flow impacts.</w:t>
            </w:r>
          </w:p>
        </w:tc>
      </w:tr>
      <w:tr w:rsidR="002220D7" w:rsidRPr="006F4023" w14:paraId="0516C76D" w14:textId="77777777" w:rsidTr="0056777C">
        <w:trPr>
          <w:trHeight w:val="3004"/>
        </w:trPr>
        <w:tc>
          <w:tcPr>
            <w:tcW w:w="405" w:type="pct"/>
          </w:tcPr>
          <w:p w14:paraId="35339EC0" w14:textId="77777777" w:rsidR="002220D7" w:rsidRPr="006F4023" w:rsidRDefault="002220D7" w:rsidP="0056777C">
            <w:pPr>
              <w:pStyle w:val="TableText"/>
              <w:rPr>
                <w:b/>
                <w:bCs/>
                <w:lang w:val="en-AU"/>
              </w:rPr>
            </w:pPr>
            <w:r w:rsidRPr="006F4023">
              <w:rPr>
                <w:b/>
                <w:bCs/>
                <w:lang w:val="en-AU"/>
              </w:rPr>
              <w:t>Scenario A-2 - Faults are unlikely to affect groundwater flow due to aquitard</w:t>
            </w:r>
          </w:p>
          <w:p w14:paraId="185DEF73" w14:textId="77777777" w:rsidR="002220D7" w:rsidRPr="006F4023" w:rsidRDefault="002220D7" w:rsidP="0056777C">
            <w:pPr>
              <w:pStyle w:val="TableText"/>
              <w:rPr>
                <w:lang w:val="en-AU"/>
              </w:rPr>
            </w:pPr>
          </w:p>
        </w:tc>
        <w:tc>
          <w:tcPr>
            <w:tcW w:w="481" w:type="pct"/>
          </w:tcPr>
          <w:p w14:paraId="66B7D9BE" w14:textId="77777777" w:rsidR="002220D7" w:rsidRPr="006F4023" w:rsidRDefault="002220D7" w:rsidP="0056777C">
            <w:pPr>
              <w:pStyle w:val="TableText"/>
              <w:rPr>
                <w:b/>
                <w:bCs/>
                <w:lang w:val="en-AU"/>
              </w:rPr>
            </w:pPr>
            <w:r w:rsidRPr="006F4023">
              <w:rPr>
                <w:b/>
                <w:bCs/>
                <w:lang w:val="en-AU"/>
              </w:rPr>
              <w:t>There is a regional aquitard separating the groundwater asset or aquifer from the coal seam or excavation, and this aquitard is not breached by faults. No primary juxtaposition of flow units across the faults is present.</w:t>
            </w:r>
          </w:p>
        </w:tc>
        <w:tc>
          <w:tcPr>
            <w:tcW w:w="571" w:type="pct"/>
          </w:tcPr>
          <w:p w14:paraId="362930BE" w14:textId="77777777" w:rsidR="002220D7" w:rsidRPr="006F4023" w:rsidRDefault="002220D7" w:rsidP="002220D7">
            <w:pPr>
              <w:pStyle w:val="TableText"/>
              <w:numPr>
                <w:ilvl w:val="0"/>
                <w:numId w:val="16"/>
              </w:numPr>
              <w:rPr>
                <w:lang w:val="en-AU"/>
              </w:rPr>
            </w:pPr>
            <w:r w:rsidRPr="006F4023">
              <w:rPr>
                <w:lang w:val="en-AU"/>
              </w:rPr>
              <w:t>An aquitard separates the groundwater asset from the coal seam or excavation.</w:t>
            </w:r>
          </w:p>
          <w:p w14:paraId="653FBB98" w14:textId="77777777" w:rsidR="002220D7" w:rsidRPr="006F4023" w:rsidRDefault="002220D7" w:rsidP="002220D7">
            <w:pPr>
              <w:pStyle w:val="TableText"/>
              <w:numPr>
                <w:ilvl w:val="0"/>
                <w:numId w:val="16"/>
              </w:numPr>
              <w:rPr>
                <w:lang w:val="en-AU"/>
              </w:rPr>
            </w:pPr>
            <w:r w:rsidRPr="006F4023">
              <w:rPr>
                <w:lang w:val="en-AU"/>
              </w:rPr>
              <w:t>Vertical fault offset (throw) is smaller than the thickness of aquitards.</w:t>
            </w:r>
          </w:p>
          <w:p w14:paraId="590C9680" w14:textId="77777777" w:rsidR="002220D7" w:rsidRPr="006F4023" w:rsidRDefault="002220D7" w:rsidP="002220D7">
            <w:pPr>
              <w:pStyle w:val="TableText"/>
              <w:numPr>
                <w:ilvl w:val="0"/>
                <w:numId w:val="16"/>
              </w:numPr>
              <w:rPr>
                <w:lang w:val="en-AU"/>
              </w:rPr>
            </w:pPr>
            <w:r w:rsidRPr="006F4023">
              <w:rPr>
                <w:lang w:val="en-AU"/>
              </w:rPr>
              <w:t xml:space="preserve">Faults are therefore unlikely to form vertical </w:t>
            </w:r>
            <w:r w:rsidRPr="006F4023">
              <w:rPr>
                <w:i/>
                <w:iCs/>
                <w:lang w:val="en-AU"/>
              </w:rPr>
              <w:t>Causal-Pathways</w:t>
            </w:r>
            <w:r w:rsidRPr="006F4023">
              <w:rPr>
                <w:lang w:val="en-AU"/>
              </w:rPr>
              <w:t xml:space="preserve">. </w:t>
            </w:r>
          </w:p>
        </w:tc>
        <w:tc>
          <w:tcPr>
            <w:tcW w:w="1267" w:type="pct"/>
          </w:tcPr>
          <w:p w14:paraId="52F69600" w14:textId="77777777" w:rsidR="002220D7" w:rsidRPr="006F4023" w:rsidRDefault="002220D7" w:rsidP="002220D7">
            <w:pPr>
              <w:pStyle w:val="TableText"/>
              <w:numPr>
                <w:ilvl w:val="0"/>
                <w:numId w:val="18"/>
              </w:numPr>
              <w:rPr>
                <w:lang w:val="en-AU"/>
              </w:rPr>
            </w:pPr>
            <w:r w:rsidRPr="006F4023">
              <w:rPr>
                <w:lang w:val="en-AU"/>
              </w:rPr>
              <w:t>Provide geological and hydrogeological evidence for a regionally extensive valid aquitard.</w:t>
            </w:r>
          </w:p>
          <w:p w14:paraId="58E54E3F" w14:textId="77777777" w:rsidR="002220D7" w:rsidRPr="006F4023" w:rsidRDefault="002220D7" w:rsidP="002220D7">
            <w:pPr>
              <w:pStyle w:val="TableText"/>
              <w:numPr>
                <w:ilvl w:val="0"/>
                <w:numId w:val="18"/>
              </w:numPr>
              <w:rPr>
                <w:lang w:val="en-AU"/>
              </w:rPr>
            </w:pPr>
            <w:r w:rsidRPr="006F4023">
              <w:rPr>
                <w:lang w:val="en-AU"/>
              </w:rPr>
              <w:t xml:space="preserve">A set of regional cross sections showing faulting that is geometrically and kinematically consistent. </w:t>
            </w:r>
          </w:p>
          <w:p w14:paraId="6FF7B554" w14:textId="77777777" w:rsidR="002220D7" w:rsidRPr="006F4023" w:rsidRDefault="002220D7" w:rsidP="002220D7">
            <w:pPr>
              <w:pStyle w:val="TableText"/>
              <w:numPr>
                <w:ilvl w:val="0"/>
                <w:numId w:val="18"/>
              </w:numPr>
              <w:rPr>
                <w:lang w:val="en-AU"/>
              </w:rPr>
            </w:pPr>
            <w:r w:rsidRPr="006F4023">
              <w:rPr>
                <w:lang w:val="en-AU"/>
              </w:rPr>
              <w:t xml:space="preserve">A comprehensive description of the aquitard, including, if possible, a description of the depositional environment. </w:t>
            </w:r>
          </w:p>
          <w:p w14:paraId="0CF44DAE" w14:textId="77777777" w:rsidR="002220D7" w:rsidRPr="006F4023" w:rsidRDefault="002220D7" w:rsidP="002220D7">
            <w:pPr>
              <w:pStyle w:val="TableText"/>
              <w:numPr>
                <w:ilvl w:val="0"/>
                <w:numId w:val="18"/>
              </w:numPr>
              <w:rPr>
                <w:lang w:val="en-AU"/>
              </w:rPr>
            </w:pPr>
            <w:r w:rsidRPr="006F4023">
              <w:rPr>
                <w:lang w:val="en-AU"/>
              </w:rPr>
              <w:t>Fault statistics including length and throw ratios/distributions.</w:t>
            </w:r>
          </w:p>
          <w:p w14:paraId="1354D0EC" w14:textId="77777777" w:rsidR="002220D7" w:rsidRPr="006F4023" w:rsidRDefault="002220D7" w:rsidP="002220D7">
            <w:pPr>
              <w:pStyle w:val="TableText"/>
              <w:numPr>
                <w:ilvl w:val="0"/>
                <w:numId w:val="18"/>
              </w:numPr>
              <w:rPr>
                <w:lang w:val="en-AU"/>
              </w:rPr>
            </w:pPr>
            <w:r w:rsidRPr="006F4023">
              <w:rPr>
                <w:lang w:val="en-AU"/>
              </w:rPr>
              <w:t>Systematic analysis of fault displacement profiles.</w:t>
            </w:r>
          </w:p>
          <w:p w14:paraId="37DFB6DD" w14:textId="77777777" w:rsidR="002220D7" w:rsidRPr="006F4023" w:rsidRDefault="002220D7" w:rsidP="002220D7">
            <w:pPr>
              <w:pStyle w:val="TableText"/>
              <w:numPr>
                <w:ilvl w:val="0"/>
                <w:numId w:val="18"/>
              </w:numPr>
              <w:rPr>
                <w:lang w:val="en-AU"/>
              </w:rPr>
            </w:pPr>
            <w:r w:rsidRPr="006F4023">
              <w:rPr>
                <w:lang w:val="en-AU"/>
              </w:rPr>
              <w:t>Structure contour maps for the top and base of the aquitard.</w:t>
            </w:r>
          </w:p>
          <w:p w14:paraId="1C7720EB" w14:textId="77777777" w:rsidR="002220D7" w:rsidRPr="006F4023" w:rsidRDefault="002220D7" w:rsidP="002220D7">
            <w:pPr>
              <w:pStyle w:val="TableText"/>
              <w:numPr>
                <w:ilvl w:val="0"/>
                <w:numId w:val="18"/>
              </w:numPr>
              <w:rPr>
                <w:lang w:val="en-AU"/>
              </w:rPr>
            </w:pPr>
            <w:r w:rsidRPr="006F4023">
              <w:rPr>
                <w:lang w:val="en-AU"/>
              </w:rPr>
              <w:t xml:space="preserve">Isopach map of all regional aquitards. </w:t>
            </w:r>
          </w:p>
        </w:tc>
        <w:tc>
          <w:tcPr>
            <w:tcW w:w="2276" w:type="pct"/>
          </w:tcPr>
          <w:p w14:paraId="213688AD" w14:textId="77777777" w:rsidR="002220D7" w:rsidRPr="006F4023" w:rsidRDefault="002220D7" w:rsidP="002220D7">
            <w:pPr>
              <w:pStyle w:val="TableText"/>
              <w:numPr>
                <w:ilvl w:val="0"/>
                <w:numId w:val="18"/>
              </w:numPr>
              <w:rPr>
                <w:lang w:val="en-AU"/>
              </w:rPr>
            </w:pPr>
            <w:r w:rsidRPr="006F4023">
              <w:rPr>
                <w:lang w:val="en-AU"/>
              </w:rPr>
              <w:t xml:space="preserve">Risk assessment of potential aquitard breach through analysis of the likely range of fault offset relative to aquitard thickness. A range of 1D, 2D and 3D techniques can be used to assess the probability that the aquitard has, or has not, been breached. </w:t>
            </w:r>
          </w:p>
          <w:p w14:paraId="44261C41" w14:textId="77777777" w:rsidR="002220D7" w:rsidRPr="006F4023" w:rsidRDefault="002220D7" w:rsidP="002220D7">
            <w:pPr>
              <w:pStyle w:val="TableText"/>
              <w:numPr>
                <w:ilvl w:val="0"/>
                <w:numId w:val="18"/>
              </w:numPr>
              <w:rPr>
                <w:lang w:val="en-AU"/>
              </w:rPr>
            </w:pPr>
            <w:r w:rsidRPr="006F4023">
              <w:rPr>
                <w:lang w:val="en-AU"/>
              </w:rPr>
              <w:t>Should a significant probability of this be shown then an uncertainty analysis based on Scenario-C would be required.</w:t>
            </w:r>
          </w:p>
        </w:tc>
      </w:tr>
      <w:tr w:rsidR="002220D7" w:rsidRPr="006F4023" w14:paraId="7709ECB5" w14:textId="77777777" w:rsidTr="0056777C">
        <w:trPr>
          <w:trHeight w:val="3104"/>
        </w:trPr>
        <w:tc>
          <w:tcPr>
            <w:tcW w:w="405" w:type="pct"/>
            <w:tcBorders>
              <w:bottom w:val="single" w:sz="4" w:space="0" w:color="auto"/>
            </w:tcBorders>
          </w:tcPr>
          <w:p w14:paraId="55ED63F5" w14:textId="77777777" w:rsidR="002220D7" w:rsidRPr="006F4023" w:rsidRDefault="002220D7" w:rsidP="0056777C">
            <w:pPr>
              <w:pStyle w:val="TableText"/>
              <w:rPr>
                <w:b/>
                <w:bCs/>
                <w:lang w:val="en-AU"/>
              </w:rPr>
            </w:pPr>
            <w:r w:rsidRPr="006F4023">
              <w:rPr>
                <w:b/>
                <w:bCs/>
                <w:lang w:val="en-AU"/>
              </w:rPr>
              <w:t xml:space="preserve">Scenario B - Faults are potentially important within aquifers </w:t>
            </w:r>
          </w:p>
          <w:p w14:paraId="0F209329" w14:textId="77777777" w:rsidR="002220D7" w:rsidRPr="006F4023" w:rsidRDefault="002220D7" w:rsidP="0056777C">
            <w:pPr>
              <w:pStyle w:val="TableText"/>
              <w:rPr>
                <w:b/>
                <w:bCs/>
                <w:lang w:val="en-AU"/>
              </w:rPr>
            </w:pPr>
          </w:p>
        </w:tc>
        <w:tc>
          <w:tcPr>
            <w:tcW w:w="481" w:type="pct"/>
          </w:tcPr>
          <w:p w14:paraId="6FBA479C" w14:textId="77777777" w:rsidR="002220D7" w:rsidRPr="006F4023" w:rsidRDefault="002220D7" w:rsidP="0056777C">
            <w:pPr>
              <w:pStyle w:val="TableText"/>
              <w:rPr>
                <w:b/>
                <w:lang w:val="en-AU"/>
              </w:rPr>
            </w:pPr>
            <w:r w:rsidRPr="006F4023">
              <w:rPr>
                <w:b/>
                <w:lang w:val="en-AU"/>
              </w:rPr>
              <w:t xml:space="preserve">There are no regional aquitards in the development region that segregate </w:t>
            </w:r>
            <w:r w:rsidRPr="006F4023">
              <w:rPr>
                <w:b/>
                <w:bCs/>
                <w:lang w:val="en-AU"/>
              </w:rPr>
              <w:t>the groundwater asset or aquifer</w:t>
            </w:r>
            <w:r w:rsidRPr="006F4023">
              <w:rPr>
                <w:b/>
                <w:lang w:val="en-AU"/>
              </w:rPr>
              <w:t xml:space="preserve"> from the </w:t>
            </w:r>
            <w:r w:rsidRPr="006F4023">
              <w:rPr>
                <w:b/>
                <w:bCs/>
                <w:lang w:val="en-AU"/>
              </w:rPr>
              <w:t>coal seam or excavation</w:t>
            </w:r>
            <w:r w:rsidRPr="006F4023">
              <w:rPr>
                <w:b/>
                <w:lang w:val="en-AU"/>
              </w:rPr>
              <w:t>.</w:t>
            </w:r>
          </w:p>
        </w:tc>
        <w:tc>
          <w:tcPr>
            <w:tcW w:w="571" w:type="pct"/>
          </w:tcPr>
          <w:p w14:paraId="585A22F5" w14:textId="77777777" w:rsidR="002220D7" w:rsidRPr="006F4023" w:rsidRDefault="002220D7" w:rsidP="002220D7">
            <w:pPr>
              <w:pStyle w:val="TableText"/>
              <w:numPr>
                <w:ilvl w:val="0"/>
                <w:numId w:val="17"/>
              </w:numPr>
              <w:rPr>
                <w:b/>
                <w:bCs/>
                <w:i/>
                <w:iCs/>
                <w:lang w:val="en-AU"/>
              </w:rPr>
            </w:pPr>
            <w:r w:rsidRPr="006F4023">
              <w:rPr>
                <w:lang w:val="en-AU"/>
              </w:rPr>
              <w:t>Flow parallel to faults may be enhanced in fault damage zones that contain fractures.</w:t>
            </w:r>
          </w:p>
          <w:p w14:paraId="14FBF171" w14:textId="77777777" w:rsidR="002220D7" w:rsidRPr="006F4023" w:rsidRDefault="002220D7" w:rsidP="002220D7">
            <w:pPr>
              <w:pStyle w:val="TableText"/>
              <w:numPr>
                <w:ilvl w:val="0"/>
                <w:numId w:val="17"/>
              </w:numPr>
              <w:rPr>
                <w:bCs/>
                <w:iCs/>
                <w:lang w:val="en-AU"/>
              </w:rPr>
            </w:pPr>
            <w:r w:rsidRPr="006F4023">
              <w:rPr>
                <w:bCs/>
                <w:iCs/>
                <w:lang w:val="en-AU"/>
              </w:rPr>
              <w:t>Drawdown impacts may be greater or lesser in the presence of a fault barrier, depending on the relative placement of the development compared to the fault.</w:t>
            </w:r>
          </w:p>
        </w:tc>
        <w:tc>
          <w:tcPr>
            <w:tcW w:w="1267" w:type="pct"/>
          </w:tcPr>
          <w:p w14:paraId="206A26C3" w14:textId="77777777" w:rsidR="002220D7" w:rsidRPr="006F4023" w:rsidRDefault="002220D7" w:rsidP="002220D7">
            <w:pPr>
              <w:pStyle w:val="TableText"/>
              <w:numPr>
                <w:ilvl w:val="0"/>
                <w:numId w:val="17"/>
              </w:numPr>
              <w:rPr>
                <w:lang w:val="en-AU"/>
              </w:rPr>
            </w:pPr>
            <w:r w:rsidRPr="006F4023">
              <w:rPr>
                <w:lang w:val="en-AU"/>
              </w:rPr>
              <w:t>Site based hydrogeological characterisation of damage zones with multiple lines of evidence.</w:t>
            </w:r>
          </w:p>
          <w:p w14:paraId="235DCED9" w14:textId="77777777" w:rsidR="002220D7" w:rsidRPr="006F4023" w:rsidRDefault="002220D7" w:rsidP="002220D7">
            <w:pPr>
              <w:pStyle w:val="TableText"/>
              <w:numPr>
                <w:ilvl w:val="0"/>
                <w:numId w:val="17"/>
              </w:numPr>
              <w:rPr>
                <w:lang w:val="en-AU"/>
              </w:rPr>
            </w:pPr>
            <w:r w:rsidRPr="006F4023">
              <w:rPr>
                <w:lang w:val="en-AU"/>
              </w:rPr>
              <w:t>Displacement analysis assessing lateral continuity of faults.</w:t>
            </w:r>
          </w:p>
          <w:p w14:paraId="60D523A9" w14:textId="77777777" w:rsidR="002220D7" w:rsidRPr="006F4023" w:rsidRDefault="002220D7" w:rsidP="002220D7">
            <w:pPr>
              <w:pStyle w:val="TableText"/>
              <w:numPr>
                <w:ilvl w:val="0"/>
                <w:numId w:val="17"/>
              </w:numPr>
              <w:rPr>
                <w:lang w:val="en-AU"/>
              </w:rPr>
            </w:pPr>
            <w:r w:rsidRPr="006F4023">
              <w:rPr>
                <w:lang w:val="en-AU"/>
              </w:rPr>
              <w:t>Analysis of the significant uncertainties that arise from the character of the fault damage zone(s), including the thickness and continuity of the damage zones, fracture density and effective fracture transmissivity.</w:t>
            </w:r>
          </w:p>
          <w:p w14:paraId="6BC5F983" w14:textId="77777777" w:rsidR="002220D7" w:rsidRPr="006F4023" w:rsidRDefault="002220D7" w:rsidP="002220D7">
            <w:pPr>
              <w:pStyle w:val="TableText"/>
              <w:numPr>
                <w:ilvl w:val="0"/>
                <w:numId w:val="17"/>
              </w:numPr>
              <w:rPr>
                <w:lang w:val="en-AU"/>
              </w:rPr>
            </w:pPr>
            <w:r w:rsidRPr="006F4023">
              <w:rPr>
                <w:lang w:val="en-AU"/>
              </w:rPr>
              <w:t>Analog studies of similar faults in outcrop, documenting damage zone architecture, fracturing and any fault rocks.</w:t>
            </w:r>
          </w:p>
          <w:p w14:paraId="2501FEBE" w14:textId="77777777" w:rsidR="002220D7" w:rsidRPr="006F4023" w:rsidRDefault="002220D7" w:rsidP="002220D7">
            <w:pPr>
              <w:pStyle w:val="TableText"/>
              <w:numPr>
                <w:ilvl w:val="0"/>
                <w:numId w:val="17"/>
              </w:numPr>
              <w:rPr>
                <w:lang w:val="en-AU"/>
              </w:rPr>
            </w:pPr>
            <w:r w:rsidRPr="006F4023">
              <w:rPr>
                <w:lang w:val="en-AU"/>
              </w:rPr>
              <w:t>Characterise the mechanical stratigraphy of the aquifers and thus their propensity to fracture.</w:t>
            </w:r>
          </w:p>
        </w:tc>
        <w:tc>
          <w:tcPr>
            <w:tcW w:w="2276" w:type="pct"/>
          </w:tcPr>
          <w:p w14:paraId="58968515" w14:textId="77777777" w:rsidR="002220D7" w:rsidRPr="006F4023" w:rsidRDefault="002220D7" w:rsidP="002220D7">
            <w:pPr>
              <w:pStyle w:val="TableText"/>
              <w:numPr>
                <w:ilvl w:val="0"/>
                <w:numId w:val="18"/>
              </w:numPr>
              <w:rPr>
                <w:lang w:val="en-AU"/>
              </w:rPr>
            </w:pPr>
            <w:r w:rsidRPr="006F4023">
              <w:rPr>
                <w:lang w:val="en-AU"/>
              </w:rPr>
              <w:t>Stochastic modelling may be used to model the probability that an identified fault or an unidentified fault intersects an asset.</w:t>
            </w:r>
          </w:p>
          <w:p w14:paraId="217C4A1A" w14:textId="77777777" w:rsidR="002220D7" w:rsidRPr="006F4023" w:rsidRDefault="002220D7" w:rsidP="002220D7">
            <w:pPr>
              <w:pStyle w:val="TableText"/>
              <w:numPr>
                <w:ilvl w:val="0"/>
                <w:numId w:val="18"/>
              </w:numPr>
              <w:rPr>
                <w:lang w:val="en-AU"/>
              </w:rPr>
            </w:pPr>
            <w:r w:rsidRPr="006F4023">
              <w:rPr>
                <w:lang w:val="en-AU"/>
              </w:rPr>
              <w:t>In the case of a fault intersecting an asset, a stochastic modelling approach that represents the potential repercussions of the fault on the groundwater flow system, potentially based on Cubic Law assumptions, can be used to derive distributions of the conservative estimates of flow from a source depressurisation effect, as an initial check on the potential significance of the fault(s) on an impact assessment</w:t>
            </w:r>
          </w:p>
          <w:p w14:paraId="38338842" w14:textId="77777777" w:rsidR="002220D7" w:rsidRPr="006F4023" w:rsidRDefault="002220D7" w:rsidP="002220D7">
            <w:pPr>
              <w:pStyle w:val="TableText"/>
              <w:numPr>
                <w:ilvl w:val="0"/>
                <w:numId w:val="18"/>
              </w:numPr>
              <w:rPr>
                <w:lang w:val="en-AU"/>
              </w:rPr>
            </w:pPr>
            <w:r w:rsidRPr="006F4023">
              <w:rPr>
                <w:lang w:val="en-AU"/>
              </w:rPr>
              <w:t>Ideally this approach would be validated through monitoring of a long-term pumping testing in the vicinity of key groundwater assets.</w:t>
            </w:r>
          </w:p>
          <w:p w14:paraId="2BFF2A63" w14:textId="77777777" w:rsidR="002220D7" w:rsidRPr="006F4023" w:rsidRDefault="002220D7" w:rsidP="002220D7">
            <w:pPr>
              <w:pStyle w:val="TableText"/>
              <w:numPr>
                <w:ilvl w:val="0"/>
                <w:numId w:val="18"/>
              </w:numPr>
              <w:rPr>
                <w:lang w:val="en-AU"/>
              </w:rPr>
            </w:pPr>
            <w:r w:rsidRPr="006F4023">
              <w:rPr>
                <w:lang w:val="en-AU"/>
              </w:rPr>
              <w:t xml:space="preserve">If faults are identified as being material to the impact assessment, ensure any numerical groundwater modelling accounts for the repercussions of the fault presence, using information from the above assessments along with other hydrologic information. Stochastic or worse case numerical modelling approaches would be required to allow uncertainty of impacts to be considered in the risk assessment. </w:t>
            </w:r>
          </w:p>
        </w:tc>
      </w:tr>
      <w:tr w:rsidR="002220D7" w:rsidRPr="006F4023" w14:paraId="269CEC29" w14:textId="77777777" w:rsidTr="0056777C">
        <w:trPr>
          <w:trHeight w:val="2939"/>
        </w:trPr>
        <w:tc>
          <w:tcPr>
            <w:tcW w:w="405" w:type="pct"/>
          </w:tcPr>
          <w:p w14:paraId="52CAC64D" w14:textId="77777777" w:rsidR="002220D7" w:rsidRPr="006F4023" w:rsidRDefault="002220D7" w:rsidP="0056777C">
            <w:pPr>
              <w:pStyle w:val="TableText"/>
              <w:rPr>
                <w:b/>
                <w:bCs/>
                <w:lang w:val="en-AU"/>
              </w:rPr>
            </w:pPr>
            <w:r w:rsidRPr="006F4023">
              <w:rPr>
                <w:b/>
                <w:bCs/>
                <w:lang w:val="en-AU"/>
              </w:rPr>
              <w:t>Scenario C - Faults are important within aquifer-aquitard systems</w:t>
            </w:r>
          </w:p>
          <w:p w14:paraId="48265D33" w14:textId="77777777" w:rsidR="002220D7" w:rsidRPr="006F4023" w:rsidRDefault="002220D7" w:rsidP="0056777C">
            <w:pPr>
              <w:pStyle w:val="TableText"/>
              <w:rPr>
                <w:b/>
                <w:bCs/>
                <w:lang w:val="en-AU"/>
              </w:rPr>
            </w:pPr>
          </w:p>
        </w:tc>
        <w:tc>
          <w:tcPr>
            <w:tcW w:w="481" w:type="pct"/>
          </w:tcPr>
          <w:p w14:paraId="02D25695" w14:textId="77777777" w:rsidR="002220D7" w:rsidRPr="006F4023" w:rsidRDefault="002220D7" w:rsidP="0056777C">
            <w:pPr>
              <w:pStyle w:val="TableText"/>
              <w:rPr>
                <w:b/>
                <w:bCs/>
                <w:lang w:val="en-AU"/>
              </w:rPr>
            </w:pPr>
            <w:r w:rsidRPr="006F4023">
              <w:rPr>
                <w:b/>
                <w:bCs/>
                <w:lang w:val="en-AU"/>
              </w:rPr>
              <w:t>Faulting displaces regional aquitards, thus connecting the asset or aquifer to the coal seam by generating primary juxtaposition.</w:t>
            </w:r>
          </w:p>
        </w:tc>
        <w:tc>
          <w:tcPr>
            <w:tcW w:w="571" w:type="pct"/>
          </w:tcPr>
          <w:p w14:paraId="5A503891" w14:textId="77777777" w:rsidR="002220D7" w:rsidRPr="006F4023" w:rsidRDefault="002220D7" w:rsidP="002220D7">
            <w:pPr>
              <w:pStyle w:val="TableText"/>
              <w:numPr>
                <w:ilvl w:val="0"/>
                <w:numId w:val="17"/>
              </w:numPr>
              <w:rPr>
                <w:lang w:val="en-AU"/>
              </w:rPr>
            </w:pPr>
            <w:r w:rsidRPr="006F4023">
              <w:rPr>
                <w:lang w:val="en-AU"/>
              </w:rPr>
              <w:t>Flow may occur across faults between aquifers through juxtaposition windows.</w:t>
            </w:r>
          </w:p>
          <w:p w14:paraId="5296F37C" w14:textId="77777777" w:rsidR="002220D7" w:rsidRPr="006F4023" w:rsidRDefault="002220D7" w:rsidP="002220D7">
            <w:pPr>
              <w:pStyle w:val="TableText"/>
              <w:numPr>
                <w:ilvl w:val="0"/>
                <w:numId w:val="17"/>
              </w:numPr>
              <w:rPr>
                <w:lang w:val="en-AU"/>
              </w:rPr>
            </w:pPr>
            <w:r w:rsidRPr="006F4023">
              <w:rPr>
                <w:lang w:val="en-AU"/>
              </w:rPr>
              <w:t>Depressurisation at the coal seam or excavation may drawdown shallower aquifers that would otherwise be separated by aquitards.</w:t>
            </w:r>
          </w:p>
          <w:p w14:paraId="0407C09B" w14:textId="77777777" w:rsidR="002220D7" w:rsidRPr="006F4023" w:rsidRDefault="002220D7" w:rsidP="002220D7">
            <w:pPr>
              <w:pStyle w:val="TableText"/>
              <w:numPr>
                <w:ilvl w:val="0"/>
                <w:numId w:val="17"/>
              </w:numPr>
              <w:rPr>
                <w:lang w:val="en-AU"/>
              </w:rPr>
            </w:pPr>
            <w:r w:rsidRPr="006F4023">
              <w:rPr>
                <w:lang w:val="en-AU"/>
              </w:rPr>
              <w:t>Aquifers may be fully juxtaposed with aquitards to form primary juxtaposition/no flow barriers.</w:t>
            </w:r>
          </w:p>
        </w:tc>
        <w:tc>
          <w:tcPr>
            <w:tcW w:w="1267" w:type="pct"/>
          </w:tcPr>
          <w:p w14:paraId="3874A4A5" w14:textId="77777777" w:rsidR="002220D7" w:rsidRPr="006F4023" w:rsidRDefault="002220D7" w:rsidP="002220D7">
            <w:pPr>
              <w:pStyle w:val="TableText"/>
              <w:numPr>
                <w:ilvl w:val="0"/>
                <w:numId w:val="19"/>
              </w:numPr>
              <w:rPr>
                <w:lang w:val="en-AU"/>
              </w:rPr>
            </w:pPr>
            <w:r w:rsidRPr="006F4023">
              <w:rPr>
                <w:lang w:val="en-AU"/>
              </w:rPr>
              <w:t xml:space="preserve">A set of regional cross sections showing geologically consistent faulting kinematics, architecture and the deposition environment of the aquitard. </w:t>
            </w:r>
          </w:p>
          <w:p w14:paraId="6DDD1977" w14:textId="77777777" w:rsidR="002220D7" w:rsidRPr="006F4023" w:rsidRDefault="002220D7" w:rsidP="002220D7">
            <w:pPr>
              <w:pStyle w:val="TableText"/>
              <w:numPr>
                <w:ilvl w:val="0"/>
                <w:numId w:val="19"/>
              </w:numPr>
              <w:rPr>
                <w:lang w:val="en-AU"/>
              </w:rPr>
            </w:pPr>
            <w:r w:rsidRPr="006F4023">
              <w:rPr>
                <w:lang w:val="en-AU"/>
              </w:rPr>
              <w:t>Depth structure contour maps for the top and base of aquitards.</w:t>
            </w:r>
          </w:p>
          <w:p w14:paraId="5626EE07" w14:textId="77777777" w:rsidR="002220D7" w:rsidRPr="006F4023" w:rsidRDefault="002220D7" w:rsidP="002220D7">
            <w:pPr>
              <w:pStyle w:val="TableText"/>
              <w:numPr>
                <w:ilvl w:val="0"/>
                <w:numId w:val="19"/>
              </w:numPr>
              <w:rPr>
                <w:lang w:val="en-AU"/>
              </w:rPr>
            </w:pPr>
            <w:r w:rsidRPr="006F4023">
              <w:rPr>
                <w:lang w:val="en-AU"/>
              </w:rPr>
              <w:t>Isopach map for the aquifers and aquitards.</w:t>
            </w:r>
          </w:p>
          <w:p w14:paraId="2E866FDD" w14:textId="77777777" w:rsidR="002220D7" w:rsidRPr="006F4023" w:rsidRDefault="002220D7" w:rsidP="002220D7">
            <w:pPr>
              <w:pStyle w:val="TableText"/>
              <w:numPr>
                <w:ilvl w:val="0"/>
                <w:numId w:val="19"/>
              </w:numPr>
              <w:rPr>
                <w:lang w:val="en-AU"/>
              </w:rPr>
            </w:pPr>
            <w:r w:rsidRPr="006F4023">
              <w:rPr>
                <w:lang w:val="en-AU"/>
              </w:rPr>
              <w:t>As with scenario A-2, all aquitards need to be described and assessed. Quantitative juxtaposition analysis of aquifers, seams and aquitards across faults should document the locations of juxtapositions and then estimate the areas of these juxtapositions.</w:t>
            </w:r>
          </w:p>
          <w:p w14:paraId="767E4BA5" w14:textId="4155B672" w:rsidR="002220D7" w:rsidRPr="006F4023" w:rsidRDefault="002220D7">
            <w:pPr>
              <w:pStyle w:val="TableText"/>
              <w:numPr>
                <w:ilvl w:val="0"/>
                <w:numId w:val="19"/>
              </w:numPr>
              <w:rPr>
                <w:lang w:val="en-AU"/>
              </w:rPr>
            </w:pPr>
            <w:r w:rsidRPr="006F4023">
              <w:rPr>
                <w:lang w:val="en-AU"/>
              </w:rPr>
              <w:t>For the case of “no-flow” fault barriers juxtaposition analysis and extensive site-specific pump</w:t>
            </w:r>
            <w:r w:rsidR="00BA7AF1">
              <w:rPr>
                <w:lang w:val="en-AU"/>
              </w:rPr>
              <w:t>ing</w:t>
            </w:r>
            <w:r w:rsidRPr="006F4023">
              <w:rPr>
                <w:lang w:val="en-AU"/>
              </w:rPr>
              <w:t xml:space="preserve"> test</w:t>
            </w:r>
            <w:r w:rsidR="00BA7AF1">
              <w:rPr>
                <w:lang w:val="en-AU"/>
              </w:rPr>
              <w:t>s</w:t>
            </w:r>
            <w:r w:rsidRPr="006F4023">
              <w:rPr>
                <w:lang w:val="en-AU"/>
              </w:rPr>
              <w:t xml:space="preserve"> from both sides of the fault and along strike of the fault. Studies using environmental water tracers (for example helium and radon) may be useful. </w:t>
            </w:r>
          </w:p>
        </w:tc>
        <w:tc>
          <w:tcPr>
            <w:tcW w:w="2276" w:type="pct"/>
          </w:tcPr>
          <w:p w14:paraId="6628FB64" w14:textId="77777777" w:rsidR="002220D7" w:rsidRPr="006F4023" w:rsidRDefault="002220D7" w:rsidP="002220D7">
            <w:pPr>
              <w:pStyle w:val="TableText"/>
              <w:numPr>
                <w:ilvl w:val="0"/>
                <w:numId w:val="18"/>
              </w:numPr>
              <w:rPr>
                <w:lang w:val="en-AU"/>
              </w:rPr>
            </w:pPr>
            <w:r w:rsidRPr="006F4023">
              <w:rPr>
                <w:lang w:val="en-AU"/>
              </w:rPr>
              <w:t>Fault juxtaposition occurrence and area are the key uncertainties in this scenario. The construction of Allan Maps for key faults is encouraged, or generating a significant series of cross sections orthogonal to each fault.</w:t>
            </w:r>
          </w:p>
          <w:p w14:paraId="4D410E4F" w14:textId="77777777" w:rsidR="002220D7" w:rsidRPr="006F4023" w:rsidRDefault="002220D7" w:rsidP="002220D7">
            <w:pPr>
              <w:pStyle w:val="TableText"/>
              <w:numPr>
                <w:ilvl w:val="0"/>
                <w:numId w:val="18"/>
              </w:numPr>
              <w:rPr>
                <w:lang w:val="en-AU"/>
              </w:rPr>
            </w:pPr>
            <w:r w:rsidRPr="006F4023">
              <w:rPr>
                <w:lang w:val="en-AU"/>
              </w:rPr>
              <w:t>Stochastic fault analysis can be used to assess the probability of juxtaposition.</w:t>
            </w:r>
          </w:p>
          <w:p w14:paraId="53CEC484" w14:textId="77777777" w:rsidR="002220D7" w:rsidRPr="006F4023" w:rsidRDefault="002220D7" w:rsidP="002220D7">
            <w:pPr>
              <w:pStyle w:val="TableText"/>
              <w:numPr>
                <w:ilvl w:val="0"/>
                <w:numId w:val="18"/>
              </w:numPr>
              <w:rPr>
                <w:lang w:val="en-AU"/>
              </w:rPr>
            </w:pPr>
            <w:r w:rsidRPr="006F4023">
              <w:rPr>
                <w:lang w:val="en-AU"/>
              </w:rPr>
              <w:t>Distribution of aquifer juxtaposition areas and thus distributions of likely cross fault flow.</w:t>
            </w:r>
          </w:p>
          <w:p w14:paraId="3E55D14C" w14:textId="77777777" w:rsidR="002220D7" w:rsidRPr="006F4023" w:rsidRDefault="002220D7" w:rsidP="002220D7">
            <w:pPr>
              <w:pStyle w:val="TableText"/>
              <w:numPr>
                <w:ilvl w:val="0"/>
                <w:numId w:val="18"/>
              </w:numPr>
              <w:rPr>
                <w:lang w:val="en-AU"/>
              </w:rPr>
            </w:pPr>
            <w:r w:rsidRPr="006F4023">
              <w:rPr>
                <w:lang w:val="en-AU"/>
              </w:rPr>
              <w:t xml:space="preserve">Probabilistic analysis of across fault flow should then be used to define fault transmissibility in groundwater flow models. </w:t>
            </w:r>
          </w:p>
          <w:p w14:paraId="7D4B262D" w14:textId="77777777" w:rsidR="002220D7" w:rsidRPr="006F4023" w:rsidRDefault="002220D7" w:rsidP="002220D7">
            <w:pPr>
              <w:pStyle w:val="TableText"/>
              <w:numPr>
                <w:ilvl w:val="0"/>
                <w:numId w:val="18"/>
              </w:numPr>
              <w:rPr>
                <w:lang w:val="en-AU"/>
              </w:rPr>
            </w:pPr>
            <w:r w:rsidRPr="006F4023">
              <w:rPr>
                <w:lang w:val="en-AU"/>
              </w:rPr>
              <w:t xml:space="preserve">Whilst the existence of a cross fault seal (membrane seal) provided by a fine-grained fault core material is possible, extensive evidence of the likely efficiency and character of any membrane seals should be presented. </w:t>
            </w:r>
          </w:p>
          <w:p w14:paraId="470476D2" w14:textId="12B8B0F7" w:rsidR="002220D7" w:rsidRPr="006F4023" w:rsidRDefault="002220D7" w:rsidP="002220D7">
            <w:pPr>
              <w:pStyle w:val="TableText"/>
              <w:numPr>
                <w:ilvl w:val="0"/>
                <w:numId w:val="18"/>
              </w:numPr>
              <w:rPr>
                <w:lang w:val="en-AU"/>
              </w:rPr>
            </w:pPr>
            <w:r w:rsidRPr="006F4023">
              <w:rPr>
                <w:lang w:val="en-AU"/>
              </w:rPr>
              <w:t>Pump</w:t>
            </w:r>
            <w:r w:rsidR="00BA7AF1">
              <w:rPr>
                <w:lang w:val="en-AU"/>
              </w:rPr>
              <w:t>ing</w:t>
            </w:r>
            <w:r w:rsidRPr="006F4023">
              <w:rPr>
                <w:lang w:val="en-AU"/>
              </w:rPr>
              <w:t xml:space="preserve"> tests and/or environmental tracer tests to support the conceptualisation and provide an analogue of possible drawdown changes caused by the development.</w:t>
            </w:r>
          </w:p>
          <w:p w14:paraId="114F347A" w14:textId="77777777" w:rsidR="002220D7" w:rsidRPr="006F4023" w:rsidRDefault="002220D7" w:rsidP="002220D7">
            <w:pPr>
              <w:pStyle w:val="TableText"/>
              <w:numPr>
                <w:ilvl w:val="0"/>
                <w:numId w:val="18"/>
              </w:numPr>
              <w:rPr>
                <w:lang w:val="en-AU"/>
              </w:rPr>
            </w:pPr>
            <w:r w:rsidRPr="006F4023">
              <w:rPr>
                <w:lang w:val="en-AU"/>
              </w:rPr>
              <w:t>If faults are identified as being material to the impact assessment, ensure any numerical groundwater modelling accounts for the repercussions of the fault presence, using information from the above assessments along with other hydrologic information. Stochastic or worse case numerical modelling approaches would be required to allow uncertainty of impacts to be considered in the risk assessment.</w:t>
            </w:r>
          </w:p>
        </w:tc>
      </w:tr>
      <w:tr w:rsidR="002220D7" w:rsidRPr="006F4023" w14:paraId="139D7757" w14:textId="77777777" w:rsidTr="0056777C">
        <w:trPr>
          <w:trHeight w:val="2775"/>
        </w:trPr>
        <w:tc>
          <w:tcPr>
            <w:tcW w:w="405" w:type="pct"/>
          </w:tcPr>
          <w:p w14:paraId="6D1CB171" w14:textId="77777777" w:rsidR="002220D7" w:rsidRPr="006F4023" w:rsidRDefault="002220D7" w:rsidP="0056777C">
            <w:pPr>
              <w:pStyle w:val="TableText"/>
              <w:spacing w:line="259" w:lineRule="auto"/>
              <w:rPr>
                <w:b/>
                <w:bCs/>
                <w:lang w:val="en-AU"/>
              </w:rPr>
            </w:pPr>
            <w:r w:rsidRPr="006F4023">
              <w:rPr>
                <w:b/>
                <w:bCs/>
                <w:lang w:val="en-AU"/>
              </w:rPr>
              <w:t>Scenario D - Differential subsidence leading to increased flow along existing or new fractures</w:t>
            </w:r>
          </w:p>
          <w:p w14:paraId="00D02002" w14:textId="77777777" w:rsidR="002220D7" w:rsidRPr="006F4023" w:rsidRDefault="002220D7" w:rsidP="0056777C">
            <w:pPr>
              <w:pStyle w:val="TableText"/>
              <w:spacing w:line="259" w:lineRule="auto"/>
              <w:rPr>
                <w:b/>
                <w:bCs/>
                <w:lang w:val="en-AU"/>
              </w:rPr>
            </w:pPr>
          </w:p>
        </w:tc>
        <w:tc>
          <w:tcPr>
            <w:tcW w:w="481" w:type="pct"/>
          </w:tcPr>
          <w:p w14:paraId="4B68AC31" w14:textId="77777777" w:rsidR="002220D7" w:rsidRPr="009C1439" w:rsidRDefault="002220D7" w:rsidP="0056777C">
            <w:pPr>
              <w:pStyle w:val="TableText"/>
              <w:rPr>
                <w:b/>
                <w:bCs/>
                <w:lang w:val="en-AU"/>
              </w:rPr>
            </w:pPr>
            <w:r w:rsidRPr="006F4023">
              <w:rPr>
                <w:b/>
                <w:bCs/>
                <w:lang w:val="en-AU"/>
              </w:rPr>
              <w:t>Differe</w:t>
            </w:r>
            <w:r w:rsidRPr="009C1439">
              <w:rPr>
                <w:b/>
                <w:bCs/>
                <w:lang w:val="en-AU"/>
              </w:rPr>
              <w:t xml:space="preserve">ntial movement reactivates faults and fractures or develops new pathways in previously </w:t>
            </w:r>
            <w:proofErr w:type="spellStart"/>
            <w:r w:rsidRPr="009C1439">
              <w:rPr>
                <w:b/>
                <w:bCs/>
                <w:lang w:val="en-AU"/>
              </w:rPr>
              <w:t>unfaulted</w:t>
            </w:r>
            <w:proofErr w:type="spellEnd"/>
            <w:r w:rsidRPr="009C1439">
              <w:rPr>
                <w:b/>
                <w:bCs/>
                <w:lang w:val="en-AU"/>
              </w:rPr>
              <w:t xml:space="preserve"> or unfractured strata. This scenario is most likely to apply to underground mines but could also occur in open cut mining and CSG.</w:t>
            </w:r>
          </w:p>
        </w:tc>
        <w:tc>
          <w:tcPr>
            <w:tcW w:w="571" w:type="pct"/>
          </w:tcPr>
          <w:p w14:paraId="09A2A7E0" w14:textId="77777777" w:rsidR="002220D7" w:rsidRPr="009C1439" w:rsidRDefault="002220D7" w:rsidP="002220D7">
            <w:pPr>
              <w:pStyle w:val="TableText"/>
              <w:numPr>
                <w:ilvl w:val="0"/>
                <w:numId w:val="17"/>
              </w:numPr>
              <w:rPr>
                <w:lang w:val="en-AU"/>
              </w:rPr>
            </w:pPr>
            <w:r w:rsidRPr="009C1439">
              <w:rPr>
                <w:lang w:val="en-AU"/>
              </w:rPr>
              <w:t xml:space="preserve">Rapid drainage of surface aquifers through fracture or fault networks caused by project development. </w:t>
            </w:r>
          </w:p>
        </w:tc>
        <w:tc>
          <w:tcPr>
            <w:tcW w:w="1267" w:type="pct"/>
          </w:tcPr>
          <w:p w14:paraId="400EF3AC" w14:textId="77777777" w:rsidR="002220D7" w:rsidRPr="009C1439" w:rsidRDefault="002220D7" w:rsidP="002220D7">
            <w:pPr>
              <w:pStyle w:val="TableText"/>
              <w:numPr>
                <w:ilvl w:val="0"/>
                <w:numId w:val="17"/>
              </w:numPr>
              <w:rPr>
                <w:lang w:val="en-AU"/>
              </w:rPr>
            </w:pPr>
            <w:r w:rsidRPr="009C1439">
              <w:rPr>
                <w:lang w:val="en-AU"/>
              </w:rPr>
              <w:t>Required for mines with significant differential subsidence.</w:t>
            </w:r>
          </w:p>
          <w:p w14:paraId="18A6E946" w14:textId="77777777" w:rsidR="002220D7" w:rsidRPr="009C1439" w:rsidRDefault="002220D7" w:rsidP="002220D7">
            <w:pPr>
              <w:pStyle w:val="TableText"/>
              <w:numPr>
                <w:ilvl w:val="0"/>
                <w:numId w:val="17"/>
              </w:numPr>
              <w:rPr>
                <w:lang w:val="en-AU"/>
              </w:rPr>
            </w:pPr>
            <w:r w:rsidRPr="009C1439">
              <w:rPr>
                <w:lang w:val="en-AU"/>
              </w:rPr>
              <w:t>The geometry of near surface faults and their associated damage zones are the first order features to be characterised.</w:t>
            </w:r>
          </w:p>
          <w:p w14:paraId="564FE976" w14:textId="77777777" w:rsidR="002220D7" w:rsidRPr="009C1439" w:rsidRDefault="002220D7" w:rsidP="002220D7">
            <w:pPr>
              <w:pStyle w:val="TableText"/>
              <w:numPr>
                <w:ilvl w:val="0"/>
                <w:numId w:val="17"/>
              </w:numPr>
              <w:rPr>
                <w:lang w:val="en-AU"/>
              </w:rPr>
            </w:pPr>
            <w:r w:rsidRPr="009C1439">
              <w:rPr>
                <w:lang w:val="en-AU"/>
              </w:rPr>
              <w:t>Surface and base aquitard structure contour maps illustrating the faults and their displacement need to be provided.</w:t>
            </w:r>
          </w:p>
          <w:p w14:paraId="52BC3533" w14:textId="77777777" w:rsidR="002220D7" w:rsidRPr="009C1439" w:rsidRDefault="002220D7" w:rsidP="002220D7">
            <w:pPr>
              <w:pStyle w:val="TableText"/>
              <w:numPr>
                <w:ilvl w:val="0"/>
                <w:numId w:val="17"/>
              </w:numPr>
              <w:rPr>
                <w:lang w:val="en-AU"/>
              </w:rPr>
            </w:pPr>
            <w:r w:rsidRPr="009C1439">
              <w:rPr>
                <w:lang w:val="en-AU"/>
              </w:rPr>
              <w:t xml:space="preserve">Analysis of </w:t>
            </w:r>
            <w:r w:rsidRPr="009C1439">
              <w:rPr>
                <w:i/>
                <w:iCs/>
                <w:lang w:val="en-AU"/>
              </w:rPr>
              <w:t>in situ</w:t>
            </w:r>
            <w:r w:rsidRPr="009C1439">
              <w:rPr>
                <w:lang w:val="en-AU"/>
              </w:rPr>
              <w:t xml:space="preserve"> stress, and the effect that excavation may have on stress and the change in stress required for fault reactivation. </w:t>
            </w:r>
          </w:p>
          <w:p w14:paraId="1951BD7F" w14:textId="77777777" w:rsidR="002220D7" w:rsidRPr="009C1439" w:rsidRDefault="002220D7" w:rsidP="002220D7">
            <w:pPr>
              <w:pStyle w:val="TableText"/>
              <w:numPr>
                <w:ilvl w:val="0"/>
                <w:numId w:val="17"/>
              </w:numPr>
              <w:rPr>
                <w:lang w:val="en-AU"/>
              </w:rPr>
            </w:pPr>
            <w:r w:rsidRPr="009C1439">
              <w:rPr>
                <w:lang w:val="en-AU"/>
              </w:rPr>
              <w:t xml:space="preserve">Water isotopes / tracers for conceptualisation of flow pathways. </w:t>
            </w:r>
          </w:p>
          <w:p w14:paraId="6FDF6E0D" w14:textId="77777777" w:rsidR="002220D7" w:rsidRPr="009C1439" w:rsidRDefault="002220D7" w:rsidP="002220D7">
            <w:pPr>
              <w:pStyle w:val="TableText"/>
              <w:numPr>
                <w:ilvl w:val="0"/>
                <w:numId w:val="17"/>
              </w:numPr>
              <w:rPr>
                <w:lang w:val="en-AU"/>
              </w:rPr>
            </w:pPr>
            <w:r w:rsidRPr="009C1439">
              <w:rPr>
                <w:lang w:val="en-AU"/>
              </w:rPr>
              <w:t>Geologically valid cross sections that illustrate the linkage from the seam level to the surface.</w:t>
            </w:r>
          </w:p>
        </w:tc>
        <w:tc>
          <w:tcPr>
            <w:tcW w:w="2276" w:type="pct"/>
          </w:tcPr>
          <w:p w14:paraId="698DDC69" w14:textId="77777777" w:rsidR="002220D7" w:rsidRPr="006F4023" w:rsidRDefault="002220D7" w:rsidP="002220D7">
            <w:pPr>
              <w:pStyle w:val="TableText"/>
              <w:numPr>
                <w:ilvl w:val="0"/>
                <w:numId w:val="17"/>
              </w:numPr>
              <w:rPr>
                <w:lang w:val="en-AU"/>
              </w:rPr>
            </w:pPr>
            <w:r w:rsidRPr="006F4023">
              <w:rPr>
                <w:lang w:val="en-AU"/>
              </w:rPr>
              <w:t>Baseline studies of hydrogeological properties of faults are required to characterise their influence on hydrogeological systems.</w:t>
            </w:r>
          </w:p>
          <w:p w14:paraId="024D935F" w14:textId="77777777" w:rsidR="002220D7" w:rsidRPr="006F4023" w:rsidRDefault="002220D7" w:rsidP="002220D7">
            <w:pPr>
              <w:pStyle w:val="TableText"/>
              <w:numPr>
                <w:ilvl w:val="0"/>
                <w:numId w:val="17"/>
              </w:numPr>
              <w:rPr>
                <w:lang w:val="en-AU"/>
              </w:rPr>
            </w:pPr>
            <w:r w:rsidRPr="006F4023">
              <w:rPr>
                <w:lang w:val="en-AU"/>
              </w:rPr>
              <w:t>Stochastic modelling may be used to model the probability that an identified fault or a suspected fault provides a pathway that intersects an asset.</w:t>
            </w:r>
          </w:p>
          <w:p w14:paraId="751B5436" w14:textId="77777777" w:rsidR="002220D7" w:rsidRPr="006F4023" w:rsidRDefault="002220D7" w:rsidP="002220D7">
            <w:pPr>
              <w:pStyle w:val="TableText"/>
              <w:numPr>
                <w:ilvl w:val="0"/>
                <w:numId w:val="17"/>
              </w:numPr>
              <w:rPr>
                <w:lang w:val="en-AU"/>
              </w:rPr>
            </w:pPr>
            <w:r w:rsidRPr="006F4023">
              <w:rPr>
                <w:lang w:val="en-AU"/>
              </w:rPr>
              <w:t>In the case of a fault intersecting an asset, a stochastic modelling approach that includes discrete fracture flow can be used to derive distributions of the conservative estimates of flow from a source depressurisation effect.</w:t>
            </w:r>
          </w:p>
          <w:p w14:paraId="347A9E5F" w14:textId="77777777" w:rsidR="002220D7" w:rsidRPr="006F4023" w:rsidRDefault="002220D7" w:rsidP="002220D7">
            <w:pPr>
              <w:pStyle w:val="TableText"/>
              <w:numPr>
                <w:ilvl w:val="0"/>
                <w:numId w:val="17"/>
              </w:numPr>
              <w:rPr>
                <w:lang w:val="en-AU"/>
              </w:rPr>
            </w:pPr>
            <w:r>
              <w:rPr>
                <w:lang w:val="en-AU"/>
              </w:rPr>
              <w:t xml:space="preserve">Field evidence is </w:t>
            </w:r>
            <w:r w:rsidRPr="006F4023">
              <w:rPr>
                <w:lang w:val="en-AU"/>
              </w:rPr>
              <w:t xml:space="preserve">required to support the </w:t>
            </w:r>
            <w:r>
              <w:rPr>
                <w:lang w:val="en-AU"/>
              </w:rPr>
              <w:t>conceptualisation, such as e</w:t>
            </w:r>
            <w:r w:rsidRPr="006F4023">
              <w:rPr>
                <w:lang w:val="en-AU"/>
              </w:rPr>
              <w:t>nvironmental monitoring, tracer and</w:t>
            </w:r>
            <w:r>
              <w:rPr>
                <w:lang w:val="en-AU"/>
              </w:rPr>
              <w:t>/or</w:t>
            </w:r>
            <w:r w:rsidRPr="006F4023">
              <w:rPr>
                <w:lang w:val="en-AU"/>
              </w:rPr>
              <w:t xml:space="preserve"> pump</w:t>
            </w:r>
            <w:r>
              <w:rPr>
                <w:lang w:val="en-AU"/>
              </w:rPr>
              <w:t>ing</w:t>
            </w:r>
            <w:r w:rsidRPr="006F4023">
              <w:rPr>
                <w:lang w:val="en-AU"/>
              </w:rPr>
              <w:t xml:space="preserve"> </w:t>
            </w:r>
            <w:r>
              <w:rPr>
                <w:lang w:val="en-AU"/>
              </w:rPr>
              <w:t>tests.</w:t>
            </w:r>
          </w:p>
          <w:p w14:paraId="5F1A6B91" w14:textId="77777777" w:rsidR="002220D7" w:rsidRPr="006F4023" w:rsidRDefault="002220D7" w:rsidP="002220D7">
            <w:pPr>
              <w:pStyle w:val="TableText"/>
              <w:numPr>
                <w:ilvl w:val="0"/>
                <w:numId w:val="17"/>
              </w:numPr>
              <w:rPr>
                <w:lang w:val="en-AU"/>
              </w:rPr>
            </w:pPr>
            <w:r w:rsidRPr="006F4023">
              <w:rPr>
                <w:lang w:val="en-AU"/>
              </w:rPr>
              <w:t xml:space="preserve">Combined </w:t>
            </w:r>
            <w:proofErr w:type="spellStart"/>
            <w:r w:rsidRPr="006F4023">
              <w:rPr>
                <w:lang w:val="en-AU"/>
              </w:rPr>
              <w:t>geomechanical</w:t>
            </w:r>
            <w:proofErr w:type="spellEnd"/>
            <w:r w:rsidRPr="006F4023">
              <w:rPr>
                <w:lang w:val="en-AU"/>
              </w:rPr>
              <w:t xml:space="preserve"> and groundwater flow modelling, consistent with mine design are encouraged within the Hydrogeological Risk Assessment to identify focus areas for specific assessment.  Stochastic or worse case numerical modelling approaches would be required to allow uncertainty of impacts to be considered in the risk assessment.</w:t>
            </w:r>
          </w:p>
        </w:tc>
      </w:tr>
    </w:tbl>
    <w:p w14:paraId="45B99583" w14:textId="77777777" w:rsidR="00EF3D0C" w:rsidRPr="00367B62" w:rsidRDefault="00EF3D0C" w:rsidP="00DA64DE">
      <w:pPr>
        <w:rPr>
          <w:sz w:val="2"/>
          <w:szCs w:val="2"/>
          <w:lang w:val="en-US"/>
        </w:rPr>
      </w:pPr>
    </w:p>
    <w:sectPr w:rsidR="00EF3D0C" w:rsidRPr="00367B62" w:rsidSect="002220D7">
      <w:headerReference w:type="even" r:id="rId27"/>
      <w:headerReference w:type="default" r:id="rId28"/>
      <w:headerReference w:type="first" r:id="rId29"/>
      <w:pgSz w:w="23811" w:h="16838" w:orient="landscape" w:code="8"/>
      <w:pgMar w:top="720" w:right="720" w:bottom="720" w:left="720"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91C8F" w14:textId="77777777" w:rsidR="00750F6F" w:rsidRDefault="00750F6F" w:rsidP="002000D4">
      <w:r>
        <w:separator/>
      </w:r>
    </w:p>
  </w:endnote>
  <w:endnote w:type="continuationSeparator" w:id="0">
    <w:p w14:paraId="1059FD19" w14:textId="77777777" w:rsidR="00750F6F" w:rsidRDefault="00750F6F" w:rsidP="002000D4">
      <w:r>
        <w:continuationSeparator/>
      </w:r>
    </w:p>
  </w:endnote>
  <w:endnote w:type="continuationNotice" w:id="1">
    <w:p w14:paraId="69251DE1" w14:textId="77777777" w:rsidR="00750F6F" w:rsidRDefault="00750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useoSans-500">
    <w:altName w:val="Calibri"/>
    <w:panose1 w:val="00000000000000000000"/>
    <w:charset w:val="00"/>
    <w:family w:val="auto"/>
    <w:notTrueType/>
    <w:pitch w:val="variable"/>
    <w:sig w:usb0="A00000AF" w:usb1="4000004A" w:usb2="00000000" w:usb3="00000000" w:csb0="00000093" w:csb1="00000000"/>
  </w:font>
  <w:font w:name="Adobe Garamond Pro Bold">
    <w:altName w:val="Constantia"/>
    <w:panose1 w:val="00000000000000000000"/>
    <w:charset w:val="00"/>
    <w:family w:val="roman"/>
    <w:notTrueType/>
    <w:pitch w:val="variable"/>
    <w:sig w:usb0="00000007" w:usb1="00000001" w:usb2="00000000" w:usb3="00000000" w:csb0="00000093" w:csb1="00000000"/>
  </w:font>
  <w:font w:name="Times New Roman (Body CS)">
    <w:altName w:val="Times New Roman"/>
    <w:charset w:val="00"/>
    <w:family w:val="roman"/>
    <w:pitch w:val="default"/>
  </w:font>
  <w:font w:name="Myriad Pro">
    <w:altName w:val="Corbel"/>
    <w:panose1 w:val="00000000000000000000"/>
    <w:charset w:val="00"/>
    <w:family w:val="swiss"/>
    <w:notTrueType/>
    <w:pitch w:val="variable"/>
    <w:sig w:usb0="20000287" w:usb1="00000001" w:usb2="00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32F1" w14:textId="77777777" w:rsidR="00495FD4" w:rsidRDefault="00495FD4" w:rsidP="005168FB">
    <w:pPr>
      <w:pStyle w:val="04HEADING4"/>
      <w:tabs>
        <w:tab w:val="right" w:pos="10680"/>
      </w:tabs>
      <w:spacing w:after="0"/>
      <w:jc w:val="center"/>
      <w:rPr>
        <w:rFonts w:ascii="Myriad Pro" w:hAnsi="Myriad Pro" w:cs="Myriad Pro"/>
        <w:sz w:val="18"/>
        <w:szCs w:val="18"/>
      </w:rPr>
    </w:pPr>
    <w:r>
      <w:rPr>
        <w:rFonts w:ascii="Myriad Pro" w:hAnsi="Myriad Pro" w:cs="Myriad Pro"/>
        <w:sz w:val="18"/>
        <w:szCs w:val="18"/>
      </w:rPr>
      <w:t>This initiative is funded by the Australian Government.</w:t>
    </w:r>
  </w:p>
  <w:p w14:paraId="765C3EFC" w14:textId="6AEEC933" w:rsidR="00495FD4" w:rsidRPr="005168FB" w:rsidRDefault="00A077D1" w:rsidP="005168FB">
    <w:pPr>
      <w:tabs>
        <w:tab w:val="right" w:pos="10680"/>
      </w:tabs>
      <w:spacing w:before="700" w:after="320"/>
      <w:jc w:val="right"/>
    </w:pPr>
    <w:hyperlink r:id="rId1" w:tooltip="Go to" w:history="1">
      <w:r w:rsidR="00495FD4" w:rsidRPr="005168FB">
        <w:rPr>
          <w:rStyle w:val="Hyperlink"/>
          <w:rFonts w:ascii="Myriad Pro" w:hAnsi="Myriad Pro" w:cs="Myriad Pro"/>
          <w:b/>
          <w:bCs/>
          <w:color w:val="FFFFFF" w:themeColor="background1"/>
          <w14:textOutline w14:w="9525" w14:cap="flat" w14:cmpd="sng" w14:algn="ctr">
            <w14:noFill/>
            <w14:prstDash w14:val="solid"/>
            <w14:round/>
          </w14:textOutline>
        </w:rPr>
        <w:t>iesc.environment.gov.au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2663" w14:textId="77777777" w:rsidR="00495FD4" w:rsidRDefault="00495FD4" w:rsidP="007814E8">
    <w:pPr>
      <w:pStyle w:val="04HEADING4"/>
      <w:tabs>
        <w:tab w:val="right" w:pos="10680"/>
      </w:tabs>
      <w:spacing w:before="0" w:after="0"/>
      <w:jc w:val="center"/>
      <w:rPr>
        <w:rFonts w:ascii="Myriad Pro" w:hAnsi="Myriad Pro" w:cs="Myriad Pro"/>
        <w:sz w:val="18"/>
        <w:szCs w:val="18"/>
      </w:rPr>
    </w:pPr>
    <w:r>
      <w:rPr>
        <w:rFonts w:ascii="Myriad Pro" w:hAnsi="Myriad Pro" w:cs="Myriad Pro"/>
        <w:sz w:val="18"/>
        <w:szCs w:val="18"/>
      </w:rPr>
      <w:t>This initiative is funded by the Australian Government.</w:t>
    </w:r>
  </w:p>
  <w:p w14:paraId="757B8991" w14:textId="4FA43E17" w:rsidR="00495FD4" w:rsidRDefault="00A077D1" w:rsidP="009A027E">
    <w:pPr>
      <w:tabs>
        <w:tab w:val="right" w:pos="10680"/>
      </w:tabs>
      <w:spacing w:before="700" w:after="320"/>
      <w:jc w:val="right"/>
    </w:pPr>
    <w:hyperlink r:id="rId1" w:tooltip="Go to" w:history="1">
      <w:r w:rsidR="00495FD4" w:rsidRPr="005168FB">
        <w:rPr>
          <w:rStyle w:val="Hyperlink"/>
          <w:rFonts w:ascii="Myriad Pro" w:hAnsi="Myriad Pro" w:cs="Myriad Pro"/>
          <w:b/>
          <w:bCs/>
          <w:color w:val="FFFFFF" w:themeColor="background1"/>
          <w14:textOutline w14:w="9525" w14:cap="flat" w14:cmpd="sng" w14:algn="ctr">
            <w14:noFill/>
            <w14:prstDash w14:val="solid"/>
            <w14:round/>
          </w14:textOutline>
        </w:rPr>
        <w:t>iesc.environment.gov.au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BAB9" w14:textId="77777777" w:rsidR="00495FD4" w:rsidRDefault="00495FD4" w:rsidP="005168FB">
    <w:pPr>
      <w:pStyle w:val="04HEADING4"/>
      <w:tabs>
        <w:tab w:val="right" w:pos="10680"/>
      </w:tabs>
      <w:spacing w:after="0"/>
      <w:jc w:val="center"/>
      <w:rPr>
        <w:rFonts w:ascii="Myriad Pro" w:hAnsi="Myriad Pro" w:cs="Myriad Pro"/>
        <w:sz w:val="18"/>
        <w:szCs w:val="18"/>
      </w:rPr>
    </w:pPr>
    <w:r>
      <w:rPr>
        <w:rFonts w:ascii="Myriad Pro" w:hAnsi="Myriad Pro" w:cs="Myriad Pro"/>
        <w:sz w:val="18"/>
        <w:szCs w:val="18"/>
      </w:rPr>
      <w:t>This initiative is funded by the Australian Government.</w:t>
    </w:r>
  </w:p>
  <w:p w14:paraId="3AA17087" w14:textId="1B6F77C1" w:rsidR="00495FD4" w:rsidRPr="005168FB" w:rsidRDefault="00A077D1" w:rsidP="005168FB">
    <w:pPr>
      <w:tabs>
        <w:tab w:val="right" w:pos="10680"/>
      </w:tabs>
      <w:spacing w:before="700" w:after="320"/>
      <w:jc w:val="right"/>
    </w:pPr>
    <w:hyperlink r:id="rId1" w:tooltip="Go to" w:history="1">
      <w:r w:rsidR="00495FD4" w:rsidRPr="005168FB">
        <w:rPr>
          <w:rStyle w:val="Hyperlink"/>
          <w:rFonts w:ascii="Myriad Pro" w:hAnsi="Myriad Pro" w:cs="Myriad Pro"/>
          <w:b/>
          <w:bCs/>
          <w:color w:val="FFFFFF" w:themeColor="background1"/>
          <w14:textOutline w14:w="9525" w14:cap="flat" w14:cmpd="sng" w14:algn="ctr">
            <w14:noFill/>
            <w14:prstDash w14:val="solid"/>
            <w14:round/>
          </w14:textOutline>
        </w:rPr>
        <w:t>www.iesc.environment.gov.au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59D4" w14:textId="013D4A09" w:rsidR="00495FD4" w:rsidRDefault="00495FD4" w:rsidP="007814E8">
    <w:pPr>
      <w:pStyle w:val="04HEADING4"/>
      <w:tabs>
        <w:tab w:val="right" w:pos="10680"/>
      </w:tabs>
      <w:spacing w:before="0" w:after="0"/>
      <w:jc w:val="center"/>
      <w:rPr>
        <w:rFonts w:ascii="Myriad Pro" w:hAnsi="Myriad Pro" w:cs="Myriad Pro"/>
        <w:sz w:val="18"/>
        <w:szCs w:val="18"/>
      </w:rPr>
    </w:pPr>
    <w:r>
      <w:rPr>
        <w:rFonts w:ascii="Myriad Pro" w:hAnsi="Myriad Pro" w:cs="Myriad Pro"/>
        <w:sz w:val="18"/>
        <w:szCs w:val="18"/>
      </w:rPr>
      <w:t>This initiative is funded by the 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8508C" w14:textId="77777777" w:rsidR="00750F6F" w:rsidRDefault="00750F6F" w:rsidP="002000D4">
      <w:r>
        <w:separator/>
      </w:r>
    </w:p>
  </w:footnote>
  <w:footnote w:type="continuationSeparator" w:id="0">
    <w:p w14:paraId="484627E3" w14:textId="77777777" w:rsidR="00750F6F" w:rsidRDefault="00750F6F" w:rsidP="002000D4">
      <w:r>
        <w:continuationSeparator/>
      </w:r>
    </w:p>
  </w:footnote>
  <w:footnote w:type="continuationNotice" w:id="1">
    <w:p w14:paraId="13154575" w14:textId="77777777" w:rsidR="00750F6F" w:rsidRDefault="00750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F7A8" w14:textId="534855E2" w:rsidR="00077DB4" w:rsidRDefault="00A077D1">
    <w:pPr>
      <w:pStyle w:val="Header"/>
    </w:pPr>
    <w:r>
      <w:rPr>
        <w:noProof/>
      </w:rPr>
      <w:pict w14:anchorId="7E27A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600547" o:spid="_x0000_s2059" type="#_x0000_t136" style="position:absolute;margin-left:0;margin-top:0;width:399.65pt;height:239.8pt;rotation:315;z-index:-25163570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424A4387">
        <v:shape id="_x0000_s2050" type="#_x0000_t136" style="position:absolute;margin-left:0;margin-top:0;width:399.65pt;height:239.8pt;rotation:315;z-index:-25165414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251F" w14:textId="341E8BDE" w:rsidR="00495FD4" w:rsidRDefault="00A077D1">
    <w:pPr>
      <w:pStyle w:val="Header"/>
    </w:pPr>
    <w:r>
      <w:rPr>
        <w:noProof/>
      </w:rPr>
      <w:pict w14:anchorId="781AB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600548" o:spid="_x0000_s2060" type="#_x0000_t136" style="position:absolute;margin-left:0;margin-top:0;width:399.65pt;height:239.8pt;rotation:315;z-index:-25163366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368CFABD">
        <v:shape id="_x0000_s2051" type="#_x0000_t136" style="position:absolute;margin-left:0;margin-top:0;width:399.65pt;height:239.8pt;rotation:315;z-index:-25165209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95FD4">
      <w:rPr>
        <w:noProof/>
        <w:lang w:eastAsia="en-AU"/>
      </w:rPr>
      <w:drawing>
        <wp:anchor distT="0" distB="0" distL="114300" distR="114300" simplePos="0" relativeHeight="251658243" behindDoc="1" locked="0" layoutInCell="1" allowOverlap="1" wp14:anchorId="438C5A86" wp14:editId="7A79B053">
          <wp:simplePos x="0" y="0"/>
          <wp:positionH relativeFrom="page">
            <wp:align>center</wp:align>
          </wp:positionH>
          <wp:positionV relativeFrom="page">
            <wp:align>center</wp:align>
          </wp:positionV>
          <wp:extent cx="7581600" cy="10716177"/>
          <wp:effectExtent l="0" t="0" r="635"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OLLOWER PAGE.jpg"/>
                  <pic:cNvPicPr/>
                </pic:nvPicPr>
                <pic:blipFill>
                  <a:blip r:embed="rId1">
                    <a:extLst>
                      <a:ext uri="{28A0092B-C50C-407E-A947-70E740481C1C}">
                        <a14:useLocalDpi xmlns:a14="http://schemas.microsoft.com/office/drawing/2010/main" val="0"/>
                      </a:ext>
                    </a:extLst>
                  </a:blip>
                  <a:stretch>
                    <a:fillRect/>
                  </a:stretch>
                </pic:blipFill>
                <pic:spPr>
                  <a:xfrm>
                    <a:off x="0" y="0"/>
                    <a:ext cx="7581600" cy="1071617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BB04" w14:textId="3CEEB97D" w:rsidR="00495FD4" w:rsidRDefault="00A077D1" w:rsidP="00E21915">
    <w:pPr>
      <w:pStyle w:val="HEADERITALICS"/>
    </w:pPr>
    <w:r>
      <w:rPr>
        <w:noProof/>
      </w:rPr>
      <w:pict w14:anchorId="26D10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600546" o:spid="_x0000_s2058" type="#_x0000_t136" style="position:absolute;left:0;text-align:left;margin-left:0;margin-top:0;width:399.65pt;height:239.8pt;rotation:315;z-index:-25163775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95FD4" w:rsidRPr="00E21915">
      <w:t>summary</w:t>
    </w:r>
    <w:r w:rsidR="00495FD4">
      <w:t xml:space="preserve"> guid</w:t>
    </w:r>
    <w:r w:rsidR="00495FD4">
      <w:rPr>
        <w:noProof/>
        <w:lang w:val="en-AU" w:eastAsia="en-AU"/>
      </w:rPr>
      <w:drawing>
        <wp:anchor distT="0" distB="0" distL="114300" distR="114300" simplePos="0" relativeHeight="251658242" behindDoc="1" locked="0" layoutInCell="1" allowOverlap="1" wp14:anchorId="296E64B4" wp14:editId="0B1A0D4F">
          <wp:simplePos x="0" y="0"/>
          <wp:positionH relativeFrom="page">
            <wp:align>center</wp:align>
          </wp:positionH>
          <wp:positionV relativeFrom="page">
            <wp:align>center</wp:align>
          </wp:positionV>
          <wp:extent cx="7579776" cy="10713599"/>
          <wp:effectExtent l="0" t="0" r="2540" b="5715"/>
          <wp:wrapNone/>
          <wp:docPr id="2" name="Picture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579776" cy="10713599"/>
                  </a:xfrm>
                  <a:prstGeom prst="rect">
                    <a:avLst/>
                  </a:prstGeom>
                </pic:spPr>
              </pic:pic>
            </a:graphicData>
          </a:graphic>
          <wp14:sizeRelH relativeFrom="margin">
            <wp14:pctWidth>0</wp14:pctWidth>
          </wp14:sizeRelH>
          <wp14:sizeRelV relativeFrom="margin">
            <wp14:pctHeight>0</wp14:pctHeight>
          </wp14:sizeRelV>
        </wp:anchor>
      </w:drawing>
    </w:r>
    <w:r w:rsidR="00495FD4">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5170" w14:textId="256FD374" w:rsidR="00077DB4" w:rsidRDefault="00A077D1">
    <w:pPr>
      <w:pStyle w:val="Header"/>
    </w:pPr>
    <w:r>
      <w:rPr>
        <w:noProof/>
      </w:rPr>
      <w:pict w14:anchorId="7553A8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600550" o:spid="_x0000_s2062" type="#_x0000_t136" style="position:absolute;margin-left:0;margin-top:0;width:399.65pt;height:239.8pt;rotation:315;z-index:-25162956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24CCA9C0">
        <v:shape id="_x0000_s2053" type="#_x0000_t136" style="position:absolute;margin-left:0;margin-top:0;width:399.65pt;height:239.8pt;rotation:315;z-index:-25164799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7ED7" w14:textId="32E86861" w:rsidR="00495FD4" w:rsidRDefault="00A077D1">
    <w:pPr>
      <w:pStyle w:val="Header"/>
    </w:pPr>
    <w:r>
      <w:rPr>
        <w:noProof/>
      </w:rPr>
      <w:pict w14:anchorId="7C6B1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600551" o:spid="_x0000_s2063" type="#_x0000_t136" style="position:absolute;margin-left:0;margin-top:0;width:399.65pt;height:239.8pt;rotation:315;z-index:-25162751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45EEF451">
        <v:shape id="_x0000_s2054" type="#_x0000_t136" style="position:absolute;margin-left:0;margin-top:0;width:399.65pt;height:239.8pt;rotation:315;z-index:-25164594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95FD4">
      <w:rPr>
        <w:noProof/>
        <w:lang w:eastAsia="en-AU"/>
      </w:rPr>
      <w:drawing>
        <wp:anchor distT="0" distB="0" distL="114300" distR="114300" simplePos="0" relativeHeight="251658241" behindDoc="1" locked="0" layoutInCell="1" allowOverlap="1" wp14:anchorId="5D4D93D7" wp14:editId="1BA94717">
          <wp:simplePos x="0" y="0"/>
          <wp:positionH relativeFrom="page">
            <wp:align>center</wp:align>
          </wp:positionH>
          <wp:positionV relativeFrom="page">
            <wp:align>center</wp:align>
          </wp:positionV>
          <wp:extent cx="7581600" cy="10716177"/>
          <wp:effectExtent l="0" t="0" r="635" b="317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OLLOWER PAGE.jpg"/>
                  <pic:cNvPicPr/>
                </pic:nvPicPr>
                <pic:blipFill>
                  <a:blip r:embed="rId1">
                    <a:extLst>
                      <a:ext uri="{28A0092B-C50C-407E-A947-70E740481C1C}">
                        <a14:useLocalDpi xmlns:a14="http://schemas.microsoft.com/office/drawing/2010/main" val="0"/>
                      </a:ext>
                    </a:extLst>
                  </a:blip>
                  <a:stretch>
                    <a:fillRect/>
                  </a:stretch>
                </pic:blipFill>
                <pic:spPr>
                  <a:xfrm>
                    <a:off x="0" y="0"/>
                    <a:ext cx="7581600" cy="10716177"/>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DC39" w14:textId="345E8CBD" w:rsidR="00495FD4" w:rsidRDefault="00A077D1" w:rsidP="00E21915">
    <w:pPr>
      <w:pStyle w:val="HEADERITALICS"/>
    </w:pPr>
    <w:r>
      <w:rPr>
        <w:noProof/>
      </w:rPr>
      <w:pict w14:anchorId="6AB81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600549" o:spid="_x0000_s2061" type="#_x0000_t136" style="position:absolute;left:0;text-align:left;margin-left:0;margin-top:0;width:399.65pt;height:239.8pt;rotation:315;z-index:-25163161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4799683C">
        <v:shape id="_x0000_s2052" type="#_x0000_t136" style="position:absolute;left:0;text-align:left;margin-left:0;margin-top:0;width:399.65pt;height:239.8pt;rotation:315;z-index:-25165004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95FD4" w:rsidRPr="00E21915">
      <w:t>summary</w:t>
    </w:r>
    <w:r w:rsidR="00495FD4">
      <w:t xml:space="preserve"> guid</w:t>
    </w:r>
    <w:r w:rsidR="00495FD4">
      <w:rPr>
        <w:noProof/>
        <w:lang w:val="en-AU" w:eastAsia="en-AU"/>
      </w:rPr>
      <w:drawing>
        <wp:anchor distT="0" distB="0" distL="114300" distR="114300" simplePos="0" relativeHeight="251658240" behindDoc="1" locked="0" layoutInCell="1" allowOverlap="1" wp14:anchorId="02F9D634" wp14:editId="39FA0B71">
          <wp:simplePos x="0" y="0"/>
          <wp:positionH relativeFrom="page">
            <wp:align>center</wp:align>
          </wp:positionH>
          <wp:positionV relativeFrom="page">
            <wp:align>center</wp:align>
          </wp:positionV>
          <wp:extent cx="7579776" cy="10713599"/>
          <wp:effectExtent l="0" t="0" r="2540" b="5715"/>
          <wp:wrapNone/>
          <wp:docPr id="17" name="Picture 1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579776" cy="10713599"/>
                  </a:xfrm>
                  <a:prstGeom prst="rect">
                    <a:avLst/>
                  </a:prstGeom>
                </pic:spPr>
              </pic:pic>
            </a:graphicData>
          </a:graphic>
          <wp14:sizeRelH relativeFrom="margin">
            <wp14:pctWidth>0</wp14:pctWidth>
          </wp14:sizeRelH>
          <wp14:sizeRelV relativeFrom="margin">
            <wp14:pctHeight>0</wp14:pctHeight>
          </wp14:sizeRelV>
        </wp:anchor>
      </w:drawing>
    </w:r>
    <w:r w:rsidR="00495FD4">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605C" w14:textId="2F41DEDD" w:rsidR="00077DB4" w:rsidRDefault="00A077D1">
    <w:pPr>
      <w:pStyle w:val="Header"/>
    </w:pPr>
    <w:r>
      <w:rPr>
        <w:noProof/>
      </w:rPr>
      <w:pict w14:anchorId="03780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600553" o:spid="_x0000_s2065" type="#_x0000_t136" style="position:absolute;margin-left:0;margin-top:0;width:399.65pt;height:239.8pt;rotation:315;z-index:-25162342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11BB6773">
        <v:shape id="_x0000_s2056" type="#_x0000_t136" style="position:absolute;margin-left:0;margin-top:0;width:399.65pt;height:239.8pt;rotation:315;z-index:-25164185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8FAA" w14:textId="027AA055" w:rsidR="00077DB4" w:rsidRDefault="00A077D1">
    <w:pPr>
      <w:pStyle w:val="Header"/>
    </w:pPr>
    <w:r>
      <w:rPr>
        <w:noProof/>
      </w:rPr>
      <w:pict w14:anchorId="261EB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600554" o:spid="_x0000_s2066" type="#_x0000_t136" style="position:absolute;margin-left:0;margin-top:0;width:399.65pt;height:239.8pt;rotation:315;z-index:-25162137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0B45EB99">
        <v:shape id="_x0000_s2057" type="#_x0000_t136" style="position:absolute;margin-left:0;margin-top:0;width:399.65pt;height:239.8pt;rotation:315;z-index:-25163980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54C6" w14:textId="65A39FA0" w:rsidR="00EF3D0C" w:rsidRPr="00EF3D0C" w:rsidRDefault="00A077D1" w:rsidP="00EF3D0C">
    <w:pPr>
      <w:pStyle w:val="Header"/>
    </w:pPr>
    <w:r>
      <w:rPr>
        <w:noProof/>
      </w:rPr>
      <w:pict w14:anchorId="4C3D4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600552" o:spid="_x0000_s2064" type="#_x0000_t136" style="position:absolute;margin-left:0;margin-top:0;width:399.65pt;height:239.8pt;rotation:315;z-index:-25162546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2D6CC76A">
        <v:shape id="_x0000_s2055" type="#_x0000_t136" style="position:absolute;margin-left:0;margin-top:0;width:399.65pt;height:239.8pt;rotation:315;z-index:-25164390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E7C"/>
    <w:multiLevelType w:val="hybridMultilevel"/>
    <w:tmpl w:val="CFD499C0"/>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C750E0"/>
    <w:multiLevelType w:val="hybridMultilevel"/>
    <w:tmpl w:val="28FC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C728FE"/>
    <w:multiLevelType w:val="hybridMultilevel"/>
    <w:tmpl w:val="A3324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75221A"/>
    <w:multiLevelType w:val="hybridMultilevel"/>
    <w:tmpl w:val="2F24E6B4"/>
    <w:lvl w:ilvl="0" w:tplc="253264DA">
      <w:start w:val="1"/>
      <w:numFmt w:val="bullet"/>
      <w:lvlText w:val="□"/>
      <w:lvlJc w:val="left"/>
      <w:pPr>
        <w:ind w:left="1032" w:hanging="360"/>
      </w:pPr>
      <w:rPr>
        <w:rFonts w:ascii="Courier New" w:hAnsi="Courier New" w:hint="default"/>
        <w:sz w:val="24"/>
        <w:szCs w:val="24"/>
      </w:rPr>
    </w:lvl>
    <w:lvl w:ilvl="1" w:tplc="0C090003" w:tentative="1">
      <w:start w:val="1"/>
      <w:numFmt w:val="bullet"/>
      <w:lvlText w:val="o"/>
      <w:lvlJc w:val="left"/>
      <w:pPr>
        <w:ind w:left="1752" w:hanging="360"/>
      </w:pPr>
      <w:rPr>
        <w:rFonts w:ascii="Courier New" w:hAnsi="Courier New" w:cs="Courier New" w:hint="default"/>
      </w:rPr>
    </w:lvl>
    <w:lvl w:ilvl="2" w:tplc="0C090005" w:tentative="1">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4" w15:restartNumberingAfterBreak="0">
    <w:nsid w:val="1654534E"/>
    <w:multiLevelType w:val="hybridMultilevel"/>
    <w:tmpl w:val="CF9E90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A321EE"/>
    <w:multiLevelType w:val="hybridMultilevel"/>
    <w:tmpl w:val="B8007842"/>
    <w:lvl w:ilvl="0" w:tplc="FA90FED2">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21C53630"/>
    <w:multiLevelType w:val="hybridMultilevel"/>
    <w:tmpl w:val="4020633E"/>
    <w:lvl w:ilvl="0" w:tplc="EA7AED66">
      <w:start w:val="1"/>
      <w:numFmt w:val="bullet"/>
      <w:lvlText w:val="□"/>
      <w:lvlJc w:val="left"/>
      <w:pPr>
        <w:ind w:left="1032" w:hanging="360"/>
      </w:pPr>
      <w:rPr>
        <w:rFonts w:ascii="Courier New" w:hAnsi="Courier New" w:hint="default"/>
      </w:rPr>
    </w:lvl>
    <w:lvl w:ilvl="1" w:tplc="0C090003" w:tentative="1">
      <w:start w:val="1"/>
      <w:numFmt w:val="bullet"/>
      <w:lvlText w:val="o"/>
      <w:lvlJc w:val="left"/>
      <w:pPr>
        <w:ind w:left="1752" w:hanging="360"/>
      </w:pPr>
      <w:rPr>
        <w:rFonts w:ascii="Courier New" w:hAnsi="Courier New" w:cs="Courier New" w:hint="default"/>
      </w:rPr>
    </w:lvl>
    <w:lvl w:ilvl="2" w:tplc="0C090005" w:tentative="1">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7" w15:restartNumberingAfterBreak="0">
    <w:nsid w:val="23B055F4"/>
    <w:multiLevelType w:val="hybridMultilevel"/>
    <w:tmpl w:val="EF460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D075B6"/>
    <w:multiLevelType w:val="hybridMultilevel"/>
    <w:tmpl w:val="FC5AD1C6"/>
    <w:lvl w:ilvl="0" w:tplc="6E32FA96">
      <w:start w:val="1"/>
      <w:numFmt w:val="lowerRoman"/>
      <w:lvlText w:val="(%1)"/>
      <w:lvlJc w:val="left"/>
      <w:pPr>
        <w:ind w:left="1049" w:hanging="720"/>
      </w:pPr>
      <w:rPr>
        <w:rFonts w:hint="default"/>
      </w:rPr>
    </w:lvl>
    <w:lvl w:ilvl="1" w:tplc="0C090019" w:tentative="1">
      <w:start w:val="1"/>
      <w:numFmt w:val="lowerLetter"/>
      <w:lvlText w:val="%2."/>
      <w:lvlJc w:val="left"/>
      <w:pPr>
        <w:ind w:left="1409" w:hanging="360"/>
      </w:pPr>
    </w:lvl>
    <w:lvl w:ilvl="2" w:tplc="0C09001B" w:tentative="1">
      <w:start w:val="1"/>
      <w:numFmt w:val="lowerRoman"/>
      <w:lvlText w:val="%3."/>
      <w:lvlJc w:val="right"/>
      <w:pPr>
        <w:ind w:left="2129" w:hanging="180"/>
      </w:pPr>
    </w:lvl>
    <w:lvl w:ilvl="3" w:tplc="0C09000F" w:tentative="1">
      <w:start w:val="1"/>
      <w:numFmt w:val="decimal"/>
      <w:lvlText w:val="%4."/>
      <w:lvlJc w:val="left"/>
      <w:pPr>
        <w:ind w:left="2849" w:hanging="360"/>
      </w:pPr>
    </w:lvl>
    <w:lvl w:ilvl="4" w:tplc="0C090019" w:tentative="1">
      <w:start w:val="1"/>
      <w:numFmt w:val="lowerLetter"/>
      <w:lvlText w:val="%5."/>
      <w:lvlJc w:val="left"/>
      <w:pPr>
        <w:ind w:left="3569" w:hanging="360"/>
      </w:pPr>
    </w:lvl>
    <w:lvl w:ilvl="5" w:tplc="0C09001B" w:tentative="1">
      <w:start w:val="1"/>
      <w:numFmt w:val="lowerRoman"/>
      <w:lvlText w:val="%6."/>
      <w:lvlJc w:val="right"/>
      <w:pPr>
        <w:ind w:left="4289" w:hanging="180"/>
      </w:pPr>
    </w:lvl>
    <w:lvl w:ilvl="6" w:tplc="0C09000F" w:tentative="1">
      <w:start w:val="1"/>
      <w:numFmt w:val="decimal"/>
      <w:lvlText w:val="%7."/>
      <w:lvlJc w:val="left"/>
      <w:pPr>
        <w:ind w:left="5009" w:hanging="360"/>
      </w:pPr>
    </w:lvl>
    <w:lvl w:ilvl="7" w:tplc="0C090019" w:tentative="1">
      <w:start w:val="1"/>
      <w:numFmt w:val="lowerLetter"/>
      <w:lvlText w:val="%8."/>
      <w:lvlJc w:val="left"/>
      <w:pPr>
        <w:ind w:left="5729" w:hanging="360"/>
      </w:pPr>
    </w:lvl>
    <w:lvl w:ilvl="8" w:tplc="0C09001B" w:tentative="1">
      <w:start w:val="1"/>
      <w:numFmt w:val="lowerRoman"/>
      <w:lvlText w:val="%9."/>
      <w:lvlJc w:val="right"/>
      <w:pPr>
        <w:ind w:left="6449" w:hanging="180"/>
      </w:pPr>
    </w:lvl>
  </w:abstractNum>
  <w:abstractNum w:abstractNumId="9" w15:restartNumberingAfterBreak="0">
    <w:nsid w:val="3D3F6D66"/>
    <w:multiLevelType w:val="hybridMultilevel"/>
    <w:tmpl w:val="487E9B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565667"/>
    <w:multiLevelType w:val="multilevel"/>
    <w:tmpl w:val="5D9A3B7C"/>
    <w:numStyleLink w:val="BulletsList"/>
  </w:abstractNum>
  <w:abstractNum w:abstractNumId="11" w15:restartNumberingAfterBreak="0">
    <w:nsid w:val="526B0781"/>
    <w:multiLevelType w:val="hybridMultilevel"/>
    <w:tmpl w:val="65423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776C1D"/>
    <w:multiLevelType w:val="hybridMultilevel"/>
    <w:tmpl w:val="27C4125E"/>
    <w:lvl w:ilvl="0" w:tplc="EFECCAFC">
      <w:start w:val="1"/>
      <w:numFmt w:val="bullet"/>
      <w:lvlText w:val="□"/>
      <w:lvlJc w:val="left"/>
      <w:pPr>
        <w:ind w:left="720" w:hanging="360"/>
      </w:pPr>
      <w:rPr>
        <w:rFonts w:ascii="Courier New" w:hAnsi="Courier New"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8B6423"/>
    <w:multiLevelType w:val="hybridMultilevel"/>
    <w:tmpl w:val="90DE3B8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295C23"/>
    <w:multiLevelType w:val="hybridMultilevel"/>
    <w:tmpl w:val="A934B6B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6F048BA"/>
    <w:multiLevelType w:val="hybridMultilevel"/>
    <w:tmpl w:val="90DE3B8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5E1110"/>
    <w:multiLevelType w:val="hybridMultilevel"/>
    <w:tmpl w:val="6012E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656F38"/>
    <w:multiLevelType w:val="hybridMultilevel"/>
    <w:tmpl w:val="223E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18"/>
  </w:num>
  <w:num w:numId="2">
    <w:abstractNumId w:val="5"/>
  </w:num>
  <w:num w:numId="3">
    <w:abstractNumId w:val="10"/>
  </w:num>
  <w:num w:numId="4">
    <w:abstractNumId w:val="14"/>
  </w:num>
  <w:num w:numId="5">
    <w:abstractNumId w:val="11"/>
  </w:num>
  <w:num w:numId="6">
    <w:abstractNumId w:val="9"/>
  </w:num>
  <w:num w:numId="7">
    <w:abstractNumId w:val="12"/>
  </w:num>
  <w:num w:numId="8">
    <w:abstractNumId w:val="8"/>
  </w:num>
  <w:num w:numId="9">
    <w:abstractNumId w:val="3"/>
  </w:num>
  <w:num w:numId="10">
    <w:abstractNumId w:val="6"/>
  </w:num>
  <w:num w:numId="11">
    <w:abstractNumId w:val="0"/>
  </w:num>
  <w:num w:numId="12">
    <w:abstractNumId w:val="4"/>
  </w:num>
  <w:num w:numId="13">
    <w:abstractNumId w:val="1"/>
  </w:num>
  <w:num w:numId="14">
    <w:abstractNumId w:val="13"/>
  </w:num>
  <w:num w:numId="15">
    <w:abstractNumId w:val="15"/>
  </w:num>
  <w:num w:numId="16">
    <w:abstractNumId w:val="7"/>
  </w:num>
  <w:num w:numId="17">
    <w:abstractNumId w:val="2"/>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0D4"/>
    <w:rsid w:val="00035D75"/>
    <w:rsid w:val="0005307F"/>
    <w:rsid w:val="00053C80"/>
    <w:rsid w:val="00071C43"/>
    <w:rsid w:val="00077DB4"/>
    <w:rsid w:val="000802C6"/>
    <w:rsid w:val="00097CA9"/>
    <w:rsid w:val="000A59D0"/>
    <w:rsid w:val="000B374B"/>
    <w:rsid w:val="000B63D8"/>
    <w:rsid w:val="0010766A"/>
    <w:rsid w:val="001276F9"/>
    <w:rsid w:val="00131B84"/>
    <w:rsid w:val="00144CE7"/>
    <w:rsid w:val="00145EDD"/>
    <w:rsid w:val="00153AD1"/>
    <w:rsid w:val="001601CB"/>
    <w:rsid w:val="00170D0A"/>
    <w:rsid w:val="00176D35"/>
    <w:rsid w:val="00187F40"/>
    <w:rsid w:val="001B2073"/>
    <w:rsid w:val="001B633D"/>
    <w:rsid w:val="001B783A"/>
    <w:rsid w:val="001C09A0"/>
    <w:rsid w:val="001C609A"/>
    <w:rsid w:val="001D0599"/>
    <w:rsid w:val="001D4457"/>
    <w:rsid w:val="001D5992"/>
    <w:rsid w:val="001D5D60"/>
    <w:rsid w:val="001E2ABE"/>
    <w:rsid w:val="002000D4"/>
    <w:rsid w:val="00215EF2"/>
    <w:rsid w:val="00216E5E"/>
    <w:rsid w:val="002220D7"/>
    <w:rsid w:val="00223184"/>
    <w:rsid w:val="002267EC"/>
    <w:rsid w:val="00230063"/>
    <w:rsid w:val="00251543"/>
    <w:rsid w:val="00251E45"/>
    <w:rsid w:val="0026001D"/>
    <w:rsid w:val="002603CF"/>
    <w:rsid w:val="0027455C"/>
    <w:rsid w:val="00275F25"/>
    <w:rsid w:val="00280B5F"/>
    <w:rsid w:val="0028263A"/>
    <w:rsid w:val="00286BAD"/>
    <w:rsid w:val="00291C79"/>
    <w:rsid w:val="002A26CB"/>
    <w:rsid w:val="002A45C1"/>
    <w:rsid w:val="002B31F9"/>
    <w:rsid w:val="002B450B"/>
    <w:rsid w:val="002C63B5"/>
    <w:rsid w:val="002C70B2"/>
    <w:rsid w:val="002D0424"/>
    <w:rsid w:val="002E2B7B"/>
    <w:rsid w:val="002E3CC5"/>
    <w:rsid w:val="002E3CE7"/>
    <w:rsid w:val="002F19AF"/>
    <w:rsid w:val="002F7556"/>
    <w:rsid w:val="00304FAA"/>
    <w:rsid w:val="00313408"/>
    <w:rsid w:val="003136F7"/>
    <w:rsid w:val="00326FBE"/>
    <w:rsid w:val="00330AEF"/>
    <w:rsid w:val="003521D1"/>
    <w:rsid w:val="0035335C"/>
    <w:rsid w:val="00367B62"/>
    <w:rsid w:val="003A4E09"/>
    <w:rsid w:val="003A6651"/>
    <w:rsid w:val="003C21FE"/>
    <w:rsid w:val="003C3206"/>
    <w:rsid w:val="003C358D"/>
    <w:rsid w:val="003C63ED"/>
    <w:rsid w:val="003C6B78"/>
    <w:rsid w:val="003E019F"/>
    <w:rsid w:val="003F18E9"/>
    <w:rsid w:val="003F497A"/>
    <w:rsid w:val="00406DFB"/>
    <w:rsid w:val="004130E8"/>
    <w:rsid w:val="004140A6"/>
    <w:rsid w:val="00417BD8"/>
    <w:rsid w:val="004235E3"/>
    <w:rsid w:val="0042584C"/>
    <w:rsid w:val="00425B05"/>
    <w:rsid w:val="004352ED"/>
    <w:rsid w:val="00440188"/>
    <w:rsid w:val="00447715"/>
    <w:rsid w:val="00455819"/>
    <w:rsid w:val="0046038D"/>
    <w:rsid w:val="00462929"/>
    <w:rsid w:val="00463039"/>
    <w:rsid w:val="00470D12"/>
    <w:rsid w:val="004828DD"/>
    <w:rsid w:val="00492266"/>
    <w:rsid w:val="004956B3"/>
    <w:rsid w:val="00495FD4"/>
    <w:rsid w:val="00497359"/>
    <w:rsid w:val="004974D7"/>
    <w:rsid w:val="004B34C8"/>
    <w:rsid w:val="004C705B"/>
    <w:rsid w:val="004D3464"/>
    <w:rsid w:val="004F246A"/>
    <w:rsid w:val="0050077D"/>
    <w:rsid w:val="005069BA"/>
    <w:rsid w:val="005129C1"/>
    <w:rsid w:val="005168FB"/>
    <w:rsid w:val="00524EBE"/>
    <w:rsid w:val="0053585A"/>
    <w:rsid w:val="00537074"/>
    <w:rsid w:val="00537906"/>
    <w:rsid w:val="0054285D"/>
    <w:rsid w:val="005548A9"/>
    <w:rsid w:val="00567B16"/>
    <w:rsid w:val="00572045"/>
    <w:rsid w:val="00576CF5"/>
    <w:rsid w:val="005807AB"/>
    <w:rsid w:val="00583611"/>
    <w:rsid w:val="0058411C"/>
    <w:rsid w:val="005B49B7"/>
    <w:rsid w:val="005D0D0C"/>
    <w:rsid w:val="005D6FBD"/>
    <w:rsid w:val="005F1057"/>
    <w:rsid w:val="005F183D"/>
    <w:rsid w:val="006007E9"/>
    <w:rsid w:val="006048C0"/>
    <w:rsid w:val="00604AEB"/>
    <w:rsid w:val="00616BE6"/>
    <w:rsid w:val="00626CB5"/>
    <w:rsid w:val="00631FE8"/>
    <w:rsid w:val="00643816"/>
    <w:rsid w:val="00657AC8"/>
    <w:rsid w:val="00671253"/>
    <w:rsid w:val="00673576"/>
    <w:rsid w:val="00675F00"/>
    <w:rsid w:val="00682DFD"/>
    <w:rsid w:val="00690D3C"/>
    <w:rsid w:val="006968EB"/>
    <w:rsid w:val="006A4A62"/>
    <w:rsid w:val="006B4A29"/>
    <w:rsid w:val="006B5F6A"/>
    <w:rsid w:val="006C0D47"/>
    <w:rsid w:val="006E41A9"/>
    <w:rsid w:val="006F19E1"/>
    <w:rsid w:val="006F2439"/>
    <w:rsid w:val="00707990"/>
    <w:rsid w:val="007107D0"/>
    <w:rsid w:val="0071406F"/>
    <w:rsid w:val="00716B3F"/>
    <w:rsid w:val="00744182"/>
    <w:rsid w:val="007504DA"/>
    <w:rsid w:val="00750F6F"/>
    <w:rsid w:val="00751662"/>
    <w:rsid w:val="0075343F"/>
    <w:rsid w:val="00772197"/>
    <w:rsid w:val="007814E8"/>
    <w:rsid w:val="0078196E"/>
    <w:rsid w:val="007851D1"/>
    <w:rsid w:val="007943D2"/>
    <w:rsid w:val="007A4921"/>
    <w:rsid w:val="007B1427"/>
    <w:rsid w:val="007B41B3"/>
    <w:rsid w:val="007D3EC3"/>
    <w:rsid w:val="007E03E3"/>
    <w:rsid w:val="007E65C3"/>
    <w:rsid w:val="007F3384"/>
    <w:rsid w:val="007F5D1D"/>
    <w:rsid w:val="008065A6"/>
    <w:rsid w:val="00806996"/>
    <w:rsid w:val="00832788"/>
    <w:rsid w:val="008432A5"/>
    <w:rsid w:val="00843964"/>
    <w:rsid w:val="0084487B"/>
    <w:rsid w:val="008648A9"/>
    <w:rsid w:val="008734E3"/>
    <w:rsid w:val="0088230B"/>
    <w:rsid w:val="008851BF"/>
    <w:rsid w:val="008869D9"/>
    <w:rsid w:val="00890459"/>
    <w:rsid w:val="00897352"/>
    <w:rsid w:val="008A0CD5"/>
    <w:rsid w:val="008A4F57"/>
    <w:rsid w:val="008A7140"/>
    <w:rsid w:val="008B0AC1"/>
    <w:rsid w:val="008B4636"/>
    <w:rsid w:val="008C1443"/>
    <w:rsid w:val="008C1F80"/>
    <w:rsid w:val="008D6949"/>
    <w:rsid w:val="008F3FF4"/>
    <w:rsid w:val="00910077"/>
    <w:rsid w:val="0092386B"/>
    <w:rsid w:val="00932749"/>
    <w:rsid w:val="00947E15"/>
    <w:rsid w:val="0095005D"/>
    <w:rsid w:val="00967C9F"/>
    <w:rsid w:val="009752F3"/>
    <w:rsid w:val="00987C50"/>
    <w:rsid w:val="009A027E"/>
    <w:rsid w:val="009A22FB"/>
    <w:rsid w:val="009A27E8"/>
    <w:rsid w:val="009A7E15"/>
    <w:rsid w:val="009B05A9"/>
    <w:rsid w:val="009B2C80"/>
    <w:rsid w:val="009B58B5"/>
    <w:rsid w:val="009C7EA5"/>
    <w:rsid w:val="009D23E5"/>
    <w:rsid w:val="009E3286"/>
    <w:rsid w:val="009E46FC"/>
    <w:rsid w:val="009F493F"/>
    <w:rsid w:val="00A077D1"/>
    <w:rsid w:val="00A13708"/>
    <w:rsid w:val="00A238B2"/>
    <w:rsid w:val="00A25622"/>
    <w:rsid w:val="00A256D7"/>
    <w:rsid w:val="00A34997"/>
    <w:rsid w:val="00A405F4"/>
    <w:rsid w:val="00A4167E"/>
    <w:rsid w:val="00A574B2"/>
    <w:rsid w:val="00A647CD"/>
    <w:rsid w:val="00A66181"/>
    <w:rsid w:val="00A736E8"/>
    <w:rsid w:val="00A90114"/>
    <w:rsid w:val="00A93A81"/>
    <w:rsid w:val="00AA6008"/>
    <w:rsid w:val="00AB5196"/>
    <w:rsid w:val="00AB7680"/>
    <w:rsid w:val="00AC378C"/>
    <w:rsid w:val="00AC5CA6"/>
    <w:rsid w:val="00AC6352"/>
    <w:rsid w:val="00AC668B"/>
    <w:rsid w:val="00AC66AD"/>
    <w:rsid w:val="00AD01B1"/>
    <w:rsid w:val="00AE4CE3"/>
    <w:rsid w:val="00B02E5E"/>
    <w:rsid w:val="00B20851"/>
    <w:rsid w:val="00B442B6"/>
    <w:rsid w:val="00B62E88"/>
    <w:rsid w:val="00B65131"/>
    <w:rsid w:val="00B6763D"/>
    <w:rsid w:val="00B7016C"/>
    <w:rsid w:val="00B8045C"/>
    <w:rsid w:val="00B842C3"/>
    <w:rsid w:val="00B91BCB"/>
    <w:rsid w:val="00BA7AF1"/>
    <w:rsid w:val="00BB13D7"/>
    <w:rsid w:val="00BB7DCD"/>
    <w:rsid w:val="00BC420F"/>
    <w:rsid w:val="00BD4769"/>
    <w:rsid w:val="00BE462F"/>
    <w:rsid w:val="00BF6F45"/>
    <w:rsid w:val="00C02F77"/>
    <w:rsid w:val="00C03078"/>
    <w:rsid w:val="00C10B78"/>
    <w:rsid w:val="00C3121E"/>
    <w:rsid w:val="00C3264C"/>
    <w:rsid w:val="00C33513"/>
    <w:rsid w:val="00C65BBF"/>
    <w:rsid w:val="00C90C0B"/>
    <w:rsid w:val="00C960DA"/>
    <w:rsid w:val="00C97610"/>
    <w:rsid w:val="00CA32D9"/>
    <w:rsid w:val="00CB5C5F"/>
    <w:rsid w:val="00CD145D"/>
    <w:rsid w:val="00CF550C"/>
    <w:rsid w:val="00D07E5C"/>
    <w:rsid w:val="00D177E3"/>
    <w:rsid w:val="00D32DEC"/>
    <w:rsid w:val="00D34666"/>
    <w:rsid w:val="00D40285"/>
    <w:rsid w:val="00D667DD"/>
    <w:rsid w:val="00D7358E"/>
    <w:rsid w:val="00DA4192"/>
    <w:rsid w:val="00DA64DE"/>
    <w:rsid w:val="00DB1315"/>
    <w:rsid w:val="00DB1738"/>
    <w:rsid w:val="00DD15FA"/>
    <w:rsid w:val="00DD7857"/>
    <w:rsid w:val="00DE0F67"/>
    <w:rsid w:val="00DE411F"/>
    <w:rsid w:val="00E03E33"/>
    <w:rsid w:val="00E048A4"/>
    <w:rsid w:val="00E157CA"/>
    <w:rsid w:val="00E21751"/>
    <w:rsid w:val="00E21915"/>
    <w:rsid w:val="00E25CAB"/>
    <w:rsid w:val="00E30E84"/>
    <w:rsid w:val="00E76D96"/>
    <w:rsid w:val="00E81325"/>
    <w:rsid w:val="00EA2901"/>
    <w:rsid w:val="00EA5FBF"/>
    <w:rsid w:val="00EB2A99"/>
    <w:rsid w:val="00ED550B"/>
    <w:rsid w:val="00ED6E10"/>
    <w:rsid w:val="00EF3D0C"/>
    <w:rsid w:val="00F21E35"/>
    <w:rsid w:val="00F33274"/>
    <w:rsid w:val="00F346A3"/>
    <w:rsid w:val="00F43E9D"/>
    <w:rsid w:val="00F533B3"/>
    <w:rsid w:val="00F73C34"/>
    <w:rsid w:val="00F74772"/>
    <w:rsid w:val="00FA01F1"/>
    <w:rsid w:val="00FA753D"/>
    <w:rsid w:val="00FB1A3C"/>
    <w:rsid w:val="00FD4E35"/>
    <w:rsid w:val="00FE070C"/>
    <w:rsid w:val="00FF0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EB49127"/>
  <w15:chartTrackingRefBased/>
  <w15:docId w15:val="{2A2DEF77-BA57-4A5B-8670-A7AA07FE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4C8"/>
    <w:pPr>
      <w:suppressAutoHyphens/>
      <w:autoSpaceDE w:val="0"/>
      <w:autoSpaceDN w:val="0"/>
      <w:adjustRightInd w:val="0"/>
      <w:spacing w:before="340" w:after="120"/>
      <w:textAlignment w:val="center"/>
      <w:outlineLvl w:val="0"/>
    </w:pPr>
    <w:rPr>
      <w:rFonts w:ascii="Calibri" w:hAnsi="Calibri" w:cs="Calibri"/>
      <w:b/>
      <w:color w:val="005695"/>
      <w:sz w:val="28"/>
      <w:szCs w:val="28"/>
      <w:lang w:val="en-US"/>
    </w:rPr>
  </w:style>
  <w:style w:type="paragraph" w:styleId="Heading2">
    <w:name w:val="heading 2"/>
    <w:basedOn w:val="Normal"/>
    <w:next w:val="Normal"/>
    <w:link w:val="Heading2Char"/>
    <w:uiPriority w:val="9"/>
    <w:unhideWhenUsed/>
    <w:qFormat/>
    <w:rsid w:val="00DB1738"/>
    <w:pPr>
      <w:suppressAutoHyphens/>
      <w:autoSpaceDE w:val="0"/>
      <w:autoSpaceDN w:val="0"/>
      <w:adjustRightInd w:val="0"/>
      <w:spacing w:before="397" w:after="113" w:line="300" w:lineRule="atLeast"/>
      <w:textAlignment w:val="center"/>
      <w:outlineLvl w:val="1"/>
    </w:pPr>
    <w:rPr>
      <w:rFonts w:ascii="Calibri" w:hAnsi="Calibri" w:cs="Calibri"/>
      <w:color w:val="005695"/>
      <w:szCs w:val="32"/>
      <w:lang w:val="en-GB"/>
    </w:rPr>
  </w:style>
  <w:style w:type="paragraph" w:styleId="Heading3">
    <w:name w:val="heading 3"/>
    <w:basedOn w:val="Normal"/>
    <w:next w:val="Normal"/>
    <w:link w:val="Heading3Char"/>
    <w:uiPriority w:val="9"/>
    <w:unhideWhenUsed/>
    <w:qFormat/>
    <w:rsid w:val="004B34C8"/>
    <w:pPr>
      <w:suppressAutoHyphens/>
      <w:autoSpaceDE w:val="0"/>
      <w:autoSpaceDN w:val="0"/>
      <w:adjustRightInd w:val="0"/>
      <w:spacing w:before="200" w:after="60"/>
      <w:textAlignment w:val="center"/>
      <w:outlineLvl w:val="2"/>
    </w:pPr>
    <w:rPr>
      <w:rFonts w:ascii="Calibri" w:hAnsi="Calibri" w:cs="Myriad Pro Light"/>
      <w:i/>
      <w:color w:val="005695"/>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1738"/>
    <w:rPr>
      <w:rFonts w:ascii="Calibri" w:hAnsi="Calibri" w:cs="Calibri"/>
      <w:color w:val="005695"/>
      <w:szCs w:val="32"/>
      <w:lang w:val="en-GB"/>
    </w:rPr>
  </w:style>
  <w:style w:type="paragraph" w:styleId="Header">
    <w:name w:val="header"/>
    <w:basedOn w:val="Normal"/>
    <w:link w:val="HeaderChar"/>
    <w:uiPriority w:val="99"/>
    <w:unhideWhenUsed/>
    <w:rsid w:val="002000D4"/>
    <w:pPr>
      <w:tabs>
        <w:tab w:val="center" w:pos="4513"/>
        <w:tab w:val="right" w:pos="9026"/>
      </w:tabs>
    </w:pPr>
  </w:style>
  <w:style w:type="character" w:customStyle="1" w:styleId="HeaderChar">
    <w:name w:val="Header Char"/>
    <w:basedOn w:val="DefaultParagraphFont"/>
    <w:link w:val="Header"/>
    <w:uiPriority w:val="99"/>
    <w:rsid w:val="002000D4"/>
  </w:style>
  <w:style w:type="paragraph" w:styleId="Footer">
    <w:name w:val="footer"/>
    <w:basedOn w:val="Normal"/>
    <w:link w:val="FooterChar"/>
    <w:uiPriority w:val="99"/>
    <w:unhideWhenUsed/>
    <w:rsid w:val="002000D4"/>
    <w:pPr>
      <w:tabs>
        <w:tab w:val="center" w:pos="4513"/>
        <w:tab w:val="right" w:pos="9026"/>
      </w:tabs>
    </w:pPr>
  </w:style>
  <w:style w:type="character" w:customStyle="1" w:styleId="FooterChar">
    <w:name w:val="Footer Char"/>
    <w:basedOn w:val="DefaultParagraphFont"/>
    <w:link w:val="Footer"/>
    <w:uiPriority w:val="99"/>
    <w:rsid w:val="002000D4"/>
  </w:style>
  <w:style w:type="character" w:customStyle="1" w:styleId="Heading1Char">
    <w:name w:val="Heading 1 Char"/>
    <w:basedOn w:val="DefaultParagraphFont"/>
    <w:link w:val="Heading1"/>
    <w:uiPriority w:val="9"/>
    <w:rsid w:val="004B34C8"/>
    <w:rPr>
      <w:rFonts w:ascii="Calibri" w:hAnsi="Calibri" w:cs="Calibri"/>
      <w:b/>
      <w:color w:val="005695"/>
      <w:sz w:val="28"/>
      <w:szCs w:val="28"/>
      <w:lang w:val="en-US"/>
    </w:rPr>
  </w:style>
  <w:style w:type="character" w:customStyle="1" w:styleId="Heading3Char">
    <w:name w:val="Heading 3 Char"/>
    <w:basedOn w:val="DefaultParagraphFont"/>
    <w:link w:val="Heading3"/>
    <w:uiPriority w:val="9"/>
    <w:rsid w:val="004B34C8"/>
    <w:rPr>
      <w:rFonts w:ascii="Calibri" w:hAnsi="Calibri" w:cs="Myriad Pro Light"/>
      <w:i/>
      <w:color w:val="005695"/>
      <w:sz w:val="22"/>
      <w:szCs w:val="22"/>
      <w:lang w:val="en-GB"/>
    </w:rPr>
  </w:style>
  <w:style w:type="paragraph" w:styleId="Title">
    <w:name w:val="Title"/>
    <w:basedOn w:val="Normal"/>
    <w:next w:val="Normal"/>
    <w:link w:val="TitleChar"/>
    <w:uiPriority w:val="10"/>
    <w:qFormat/>
    <w:rsid w:val="004B34C8"/>
    <w:pPr>
      <w:suppressAutoHyphens/>
      <w:autoSpaceDE w:val="0"/>
      <w:autoSpaceDN w:val="0"/>
      <w:adjustRightInd w:val="0"/>
      <w:spacing w:before="200" w:after="170" w:line="380" w:lineRule="atLeast"/>
      <w:textAlignment w:val="center"/>
    </w:pPr>
    <w:rPr>
      <w:rFonts w:ascii="Calibri" w:hAnsi="Calibri" w:cs="Calibri"/>
      <w:b/>
      <w:bCs/>
      <w:color w:val="005695"/>
      <w:sz w:val="32"/>
      <w:szCs w:val="32"/>
      <w:lang w:val="en-US"/>
    </w:rPr>
  </w:style>
  <w:style w:type="character" w:customStyle="1" w:styleId="TitleChar">
    <w:name w:val="Title Char"/>
    <w:basedOn w:val="DefaultParagraphFont"/>
    <w:link w:val="Title"/>
    <w:uiPriority w:val="10"/>
    <w:rsid w:val="004B34C8"/>
    <w:rPr>
      <w:rFonts w:ascii="Calibri" w:hAnsi="Calibri" w:cs="Calibri"/>
      <w:b/>
      <w:bCs/>
      <w:color w:val="005695"/>
      <w:sz w:val="32"/>
      <w:szCs w:val="32"/>
      <w:lang w:val="en-US"/>
    </w:rPr>
  </w:style>
  <w:style w:type="paragraph" w:styleId="Subtitle">
    <w:name w:val="Subtitle"/>
    <w:basedOn w:val="Normal"/>
    <w:next w:val="Normal"/>
    <w:link w:val="SubtitleChar"/>
    <w:uiPriority w:val="11"/>
    <w:qFormat/>
    <w:rsid w:val="004B34C8"/>
    <w:pPr>
      <w:suppressAutoHyphens/>
      <w:autoSpaceDE w:val="0"/>
      <w:autoSpaceDN w:val="0"/>
      <w:adjustRightInd w:val="0"/>
      <w:spacing w:before="227" w:line="288" w:lineRule="auto"/>
      <w:ind w:left="1134"/>
      <w:textAlignment w:val="center"/>
    </w:pPr>
    <w:rPr>
      <w:rFonts w:ascii="Calibri" w:hAnsi="Calibri" w:cs="Calibri"/>
      <w:color w:val="808285"/>
      <w:sz w:val="28"/>
      <w:szCs w:val="28"/>
      <w:lang w:val="en-GB"/>
    </w:rPr>
  </w:style>
  <w:style w:type="character" w:customStyle="1" w:styleId="SubtitleChar">
    <w:name w:val="Subtitle Char"/>
    <w:basedOn w:val="DefaultParagraphFont"/>
    <w:link w:val="Subtitle"/>
    <w:uiPriority w:val="11"/>
    <w:rsid w:val="004B34C8"/>
    <w:rPr>
      <w:rFonts w:ascii="Calibri" w:hAnsi="Calibri" w:cs="Calibri"/>
      <w:color w:val="808285"/>
      <w:sz w:val="28"/>
      <w:szCs w:val="28"/>
      <w:lang w:val="en-GB"/>
    </w:rPr>
  </w:style>
  <w:style w:type="paragraph" w:customStyle="1" w:styleId="Bullet1">
    <w:name w:val="Bullet 1"/>
    <w:basedOn w:val="BodyText"/>
    <w:qFormat/>
    <w:rsid w:val="004B34C8"/>
    <w:pPr>
      <w:numPr>
        <w:numId w:val="3"/>
      </w:numPr>
      <w:tabs>
        <w:tab w:val="clear" w:pos="284"/>
        <w:tab w:val="left" w:pos="567"/>
      </w:tabs>
      <w:spacing w:before="60"/>
      <w:ind w:left="568" w:hanging="284"/>
    </w:pPr>
  </w:style>
  <w:style w:type="paragraph" w:customStyle="1" w:styleId="Bullet2">
    <w:name w:val="Bullet 2"/>
    <w:basedOn w:val="Bullet1"/>
    <w:qFormat/>
    <w:rsid w:val="004B34C8"/>
    <w:pPr>
      <w:numPr>
        <w:ilvl w:val="1"/>
      </w:numPr>
      <w:tabs>
        <w:tab w:val="clear" w:pos="568"/>
        <w:tab w:val="left" w:pos="851"/>
      </w:tabs>
      <w:ind w:left="851" w:hanging="284"/>
    </w:pPr>
  </w:style>
  <w:style w:type="paragraph" w:customStyle="1" w:styleId="Bullet3">
    <w:name w:val="Bullet 3"/>
    <w:basedOn w:val="Bullet2"/>
    <w:qFormat/>
    <w:rsid w:val="004B34C8"/>
    <w:pPr>
      <w:numPr>
        <w:ilvl w:val="2"/>
      </w:numPr>
      <w:tabs>
        <w:tab w:val="clear" w:pos="852"/>
        <w:tab w:val="left" w:pos="1134"/>
      </w:tabs>
      <w:ind w:left="1135" w:hanging="284"/>
    </w:pPr>
  </w:style>
  <w:style w:type="numbering" w:customStyle="1" w:styleId="BulletsList">
    <w:name w:val="Bullets List"/>
    <w:uiPriority w:val="99"/>
    <w:rsid w:val="004B34C8"/>
    <w:pPr>
      <w:numPr>
        <w:numId w:val="1"/>
      </w:numPr>
    </w:pPr>
  </w:style>
  <w:style w:type="table" w:customStyle="1" w:styleId="IESCTABLE1">
    <w:name w:val="IESC TABLE 1"/>
    <w:basedOn w:val="TableNormal"/>
    <w:uiPriority w:val="42"/>
    <w:locked/>
    <w:rsid w:val="004B34C8"/>
    <w:pPr>
      <w:spacing w:after="80"/>
    </w:pPr>
    <w:rPr>
      <w:sz w:val="22"/>
      <w:szCs w:val="22"/>
    </w:rPr>
    <w:tblPr>
      <w:tblStyleRowBandSize w:val="1"/>
      <w:tblStyleColBandSize w:val="1"/>
      <w:tblBorders>
        <w:top w:val="single" w:sz="4" w:space="0" w:color="00569F"/>
        <w:left w:val="single" w:sz="4" w:space="0" w:color="00569F"/>
        <w:bottom w:val="single" w:sz="4" w:space="0" w:color="00569F"/>
        <w:right w:val="single" w:sz="4" w:space="0" w:color="00569F"/>
        <w:insideH w:val="single" w:sz="4" w:space="0" w:color="00569F"/>
        <w:insideV w:val="single" w:sz="4" w:space="0" w:color="00569F"/>
      </w:tblBorders>
    </w:tblPr>
    <w:tcPr>
      <w:shd w:val="clear" w:color="auto" w:fill="EAEDF5"/>
      <w:tcMar>
        <w:top w:w="113" w:type="dxa"/>
        <w:bottom w:w="113" w:type="dxa"/>
      </w:tcMar>
    </w:tcPr>
    <w:tblStylePr w:type="firstRow">
      <w:pPr>
        <w:wordWrap/>
        <w:spacing w:beforeLines="0" w:before="0" w:beforeAutospacing="0" w:afterLines="0" w:after="0" w:afterAutospacing="0" w:line="240" w:lineRule="auto"/>
        <w:ind w:firstLineChars="0" w:firstLine="0"/>
      </w:pPr>
      <w:rPr>
        <w:rFonts w:ascii="Calibri" w:hAnsi="Calibri"/>
        <w:b/>
        <w:bCs/>
        <w:i w:val="0"/>
        <w:caps w:val="0"/>
        <w:smallCaps w:val="0"/>
        <w:strike w:val="0"/>
        <w:dstrike w:val="0"/>
        <w:vanish w:val="0"/>
        <w:color w:val="FFFFFF" w:themeColor="background1"/>
        <w:sz w:val="18"/>
        <w:u w:val="none"/>
        <w:vertAlign w:val="baseline"/>
      </w:rPr>
      <w:tblPr/>
      <w:tcPr>
        <w:tcBorders>
          <w:bottom w:val="single" w:sz="4" w:space="0" w:color="00569F"/>
        </w:tcBorders>
        <w:shd w:val="clear" w:color="auto" w:fill="00569F"/>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rPr>
        <w:rFonts w:ascii="Calibri" w:hAnsi="Calibri"/>
      </w:rPr>
      <w:tblPr/>
      <w:tcPr>
        <w:tcBorders>
          <w:top w:val="single" w:sz="4" w:space="0" w:color="7F7F7F" w:themeColor="text1" w:themeTint="80"/>
          <w:bottom w:val="single" w:sz="4" w:space="0" w:color="7F7F7F" w:themeColor="text1" w:themeTint="80"/>
        </w:tcBorders>
        <w:shd w:val="clear" w:color="auto" w:fill="EAEDF5"/>
      </w:tcPr>
    </w:tblStylePr>
    <w:tblStylePr w:type="band2Horz">
      <w:tblPr/>
      <w:tcPr>
        <w:tcBorders>
          <w:top w:val="single" w:sz="4" w:space="0" w:color="00569F"/>
          <w:left w:val="single" w:sz="4" w:space="0" w:color="00569F"/>
          <w:bottom w:val="single" w:sz="4" w:space="0" w:color="00569F"/>
          <w:right w:val="single" w:sz="4" w:space="0" w:color="00569F"/>
          <w:insideH w:val="single" w:sz="4" w:space="0" w:color="00569F"/>
          <w:insideV w:val="single" w:sz="4" w:space="0" w:color="00569F"/>
          <w:tl2br w:val="nil"/>
          <w:tr2bl w:val="nil"/>
        </w:tcBorders>
        <w:shd w:val="clear" w:color="auto" w:fill="EAEDF5"/>
      </w:tcPr>
    </w:tblStylePr>
  </w:style>
  <w:style w:type="character" w:styleId="Hyperlink">
    <w:name w:val="Hyperlink"/>
    <w:basedOn w:val="DefaultParagraphFont"/>
    <w:uiPriority w:val="99"/>
    <w:rsid w:val="004B34C8"/>
    <w:rPr>
      <w:rFonts w:ascii="Calibri" w:hAnsi="Calibri" w:cs="MuseoSans-500"/>
      <w:b w:val="0"/>
      <w:i w:val="0"/>
      <w:color w:val="auto"/>
      <w:u w:val="single" w:color="0070C0"/>
    </w:rPr>
  </w:style>
  <w:style w:type="character" w:styleId="Strong">
    <w:name w:val="Strong"/>
    <w:basedOn w:val="DefaultParagraphFont"/>
    <w:uiPriority w:val="22"/>
    <w:qFormat/>
    <w:rsid w:val="004B34C8"/>
    <w:rPr>
      <w:b/>
      <w:bCs/>
    </w:rPr>
  </w:style>
  <w:style w:type="paragraph" w:styleId="Caption">
    <w:name w:val="caption"/>
    <w:basedOn w:val="BodyText"/>
    <w:next w:val="Normal"/>
    <w:uiPriority w:val="35"/>
    <w:unhideWhenUsed/>
    <w:qFormat/>
    <w:rsid w:val="004B34C8"/>
    <w:pPr>
      <w:spacing w:before="100" w:after="400" w:line="240" w:lineRule="atLeast"/>
      <w:contextualSpacing/>
    </w:pPr>
    <w:rPr>
      <w:i/>
      <w:iCs/>
      <w:sz w:val="18"/>
      <w:szCs w:val="18"/>
    </w:rPr>
  </w:style>
  <w:style w:type="paragraph" w:customStyle="1" w:styleId="TableText">
    <w:name w:val="Table Text"/>
    <w:basedOn w:val="BodyText"/>
    <w:qFormat/>
    <w:rsid w:val="004B34C8"/>
    <w:pPr>
      <w:spacing w:after="80" w:line="240" w:lineRule="auto"/>
    </w:pPr>
  </w:style>
  <w:style w:type="paragraph" w:customStyle="1" w:styleId="TableHeaderRow">
    <w:name w:val="Table Header Row"/>
    <w:basedOn w:val="Normal"/>
    <w:qFormat/>
    <w:rsid w:val="004B34C8"/>
    <w:pPr>
      <w:suppressAutoHyphens/>
      <w:autoSpaceDE w:val="0"/>
      <w:autoSpaceDN w:val="0"/>
      <w:adjustRightInd w:val="0"/>
      <w:spacing w:line="288" w:lineRule="auto"/>
      <w:textAlignment w:val="center"/>
    </w:pPr>
    <w:rPr>
      <w:rFonts w:ascii="Calibri" w:hAnsi="Calibri" w:cs="Adobe Garamond Pro Bold"/>
      <w:b/>
      <w:color w:val="FFFFFF"/>
      <w:sz w:val="18"/>
      <w:szCs w:val="18"/>
      <w:lang w:val="en-US"/>
    </w:rPr>
  </w:style>
  <w:style w:type="paragraph" w:customStyle="1" w:styleId="Tablefigureheading">
    <w:name w:val="Table figure heading"/>
    <w:basedOn w:val="Normal"/>
    <w:uiPriority w:val="99"/>
    <w:rsid w:val="004B34C8"/>
    <w:pPr>
      <w:suppressAutoHyphens/>
      <w:autoSpaceDE w:val="0"/>
      <w:autoSpaceDN w:val="0"/>
      <w:adjustRightInd w:val="0"/>
      <w:spacing w:before="240" w:after="170" w:line="280" w:lineRule="atLeast"/>
      <w:textAlignment w:val="center"/>
    </w:pPr>
    <w:rPr>
      <w:rFonts w:ascii="Calibri" w:hAnsi="Calibri" w:cs="Calibri"/>
      <w:b/>
      <w:bCs/>
      <w:color w:val="1F4E79"/>
      <w:sz w:val="22"/>
      <w:szCs w:val="22"/>
      <w:lang w:val="en-US"/>
    </w:rPr>
  </w:style>
  <w:style w:type="paragraph" w:customStyle="1" w:styleId="FIGUREHEADING">
    <w:name w:val="FIGURE HEADING"/>
    <w:basedOn w:val="Normal"/>
    <w:uiPriority w:val="99"/>
    <w:rsid w:val="004B34C8"/>
    <w:pPr>
      <w:keepNext/>
      <w:suppressAutoHyphens/>
      <w:autoSpaceDE w:val="0"/>
      <w:autoSpaceDN w:val="0"/>
      <w:adjustRightInd w:val="0"/>
      <w:spacing w:before="283" w:after="170" w:line="280" w:lineRule="atLeast"/>
      <w:textAlignment w:val="center"/>
    </w:pPr>
    <w:rPr>
      <w:rFonts w:ascii="Calibri" w:hAnsi="Calibri" w:cs="Calibri"/>
      <w:b/>
      <w:bCs/>
      <w:color w:val="1F4E79"/>
      <w:sz w:val="22"/>
      <w:szCs w:val="22"/>
      <w:lang w:val="en-US"/>
    </w:rPr>
  </w:style>
  <w:style w:type="paragraph" w:styleId="BodyText">
    <w:name w:val="Body Text"/>
    <w:basedOn w:val="Normal"/>
    <w:link w:val="BodyTextChar"/>
    <w:uiPriority w:val="99"/>
    <w:unhideWhenUsed/>
    <w:rsid w:val="004B34C8"/>
    <w:pPr>
      <w:suppressAutoHyphens/>
      <w:autoSpaceDE w:val="0"/>
      <w:autoSpaceDN w:val="0"/>
      <w:adjustRightInd w:val="0"/>
      <w:spacing w:after="170" w:line="260" w:lineRule="atLeast"/>
      <w:textAlignment w:val="center"/>
    </w:pPr>
    <w:rPr>
      <w:rFonts w:ascii="Calibri" w:hAnsi="Calibri" w:cs="Calibri"/>
      <w:color w:val="000000"/>
      <w:sz w:val="19"/>
      <w:szCs w:val="20"/>
      <w:lang w:val="en-US"/>
    </w:rPr>
  </w:style>
  <w:style w:type="character" w:customStyle="1" w:styleId="BodyTextChar">
    <w:name w:val="Body Text Char"/>
    <w:basedOn w:val="DefaultParagraphFont"/>
    <w:link w:val="BodyText"/>
    <w:uiPriority w:val="99"/>
    <w:rsid w:val="004B34C8"/>
    <w:rPr>
      <w:rFonts w:ascii="Calibri" w:hAnsi="Calibri" w:cs="Calibri"/>
      <w:color w:val="000000"/>
      <w:sz w:val="19"/>
      <w:szCs w:val="20"/>
      <w:lang w:val="en-US"/>
    </w:rPr>
  </w:style>
  <w:style w:type="paragraph" w:customStyle="1" w:styleId="Box1Text">
    <w:name w:val="Box 1 Text"/>
    <w:basedOn w:val="Normal"/>
    <w:qFormat/>
    <w:rsid w:val="004B34C8"/>
    <w:pPr>
      <w:pBdr>
        <w:top w:val="single" w:sz="4" w:space="14" w:color="00569F"/>
        <w:left w:val="single" w:sz="4" w:space="14" w:color="00569F"/>
        <w:bottom w:val="single" w:sz="4" w:space="14" w:color="00569F"/>
        <w:right w:val="single" w:sz="4" w:space="14" w:color="00569F"/>
      </w:pBdr>
      <w:shd w:val="clear" w:color="auto" w:fill="FFFFFF" w:themeFill="background1"/>
      <w:suppressAutoHyphens/>
      <w:spacing w:before="180" w:after="80" w:line="240" w:lineRule="atLeast"/>
      <w:ind w:left="284" w:right="284"/>
    </w:pPr>
    <w:rPr>
      <w:rFonts w:ascii="Calibri" w:hAnsi="Calibri" w:cs="Times New Roman (Body CS)"/>
      <w:color w:val="000000" w:themeColor="text1"/>
      <w:sz w:val="20"/>
      <w:szCs w:val="22"/>
    </w:rPr>
  </w:style>
  <w:style w:type="paragraph" w:customStyle="1" w:styleId="Box1Bullet">
    <w:name w:val="Box 1 Bullet"/>
    <w:basedOn w:val="Box1Text"/>
    <w:qFormat/>
    <w:rsid w:val="004B34C8"/>
    <w:pPr>
      <w:numPr>
        <w:numId w:val="2"/>
      </w:numPr>
      <w:ind w:left="568" w:hanging="284"/>
    </w:pPr>
  </w:style>
  <w:style w:type="paragraph" w:customStyle="1" w:styleId="Coversubtitle">
    <w:name w:val="Cover subtitle"/>
    <w:basedOn w:val="Normal"/>
    <w:uiPriority w:val="99"/>
    <w:rsid w:val="004B34C8"/>
    <w:pPr>
      <w:suppressAutoHyphens/>
      <w:autoSpaceDE w:val="0"/>
      <w:autoSpaceDN w:val="0"/>
      <w:adjustRightInd w:val="0"/>
      <w:spacing w:before="227" w:line="288" w:lineRule="auto"/>
      <w:ind w:left="1134"/>
      <w:textAlignment w:val="center"/>
    </w:pPr>
    <w:rPr>
      <w:rFonts w:ascii="Calibri" w:hAnsi="Calibri"/>
      <w:color w:val="AEAAAA" w:themeColor="background2" w:themeShade="BF"/>
      <w:sz w:val="28"/>
      <w:szCs w:val="22"/>
      <w:lang w:val="en-GB"/>
    </w:rPr>
  </w:style>
  <w:style w:type="character" w:styleId="SubtleReference">
    <w:name w:val="Subtle Reference"/>
    <w:basedOn w:val="DefaultParagraphFont"/>
    <w:uiPriority w:val="31"/>
    <w:qFormat/>
    <w:rsid w:val="004B34C8"/>
    <w:rPr>
      <w:smallCaps/>
      <w:color w:val="5A5A5A" w:themeColor="text1" w:themeTint="A5"/>
    </w:rPr>
  </w:style>
  <w:style w:type="paragraph" w:customStyle="1" w:styleId="04HEADING4">
    <w:name w:val="04. HEADING 4"/>
    <w:basedOn w:val="Normal"/>
    <w:uiPriority w:val="99"/>
    <w:rsid w:val="004B34C8"/>
    <w:pPr>
      <w:suppressAutoHyphens/>
      <w:autoSpaceDE w:val="0"/>
      <w:autoSpaceDN w:val="0"/>
      <w:adjustRightInd w:val="0"/>
      <w:spacing w:before="113" w:after="28" w:line="240" w:lineRule="atLeast"/>
      <w:textAlignment w:val="center"/>
    </w:pPr>
    <w:rPr>
      <w:rFonts w:ascii="Myriad Pro Light" w:hAnsi="Myriad Pro Light" w:cs="Myriad Pro Light"/>
      <w:color w:val="3277D0"/>
      <w:sz w:val="20"/>
      <w:szCs w:val="20"/>
      <w:lang w:val="en-GB"/>
    </w:rPr>
  </w:style>
  <w:style w:type="character" w:styleId="FollowedHyperlink">
    <w:name w:val="FollowedHyperlink"/>
    <w:basedOn w:val="DefaultParagraphFont"/>
    <w:uiPriority w:val="99"/>
    <w:semiHidden/>
    <w:unhideWhenUsed/>
    <w:rsid w:val="00463039"/>
    <w:rPr>
      <w:color w:val="954F72" w:themeColor="followedHyperlink"/>
      <w:u w:val="single"/>
    </w:rPr>
  </w:style>
  <w:style w:type="paragraph" w:customStyle="1" w:styleId="02HEADING2">
    <w:name w:val="02. HEADING 2"/>
    <w:basedOn w:val="Normal"/>
    <w:uiPriority w:val="99"/>
    <w:rsid w:val="009E46FC"/>
    <w:pPr>
      <w:suppressAutoHyphens/>
      <w:autoSpaceDE w:val="0"/>
      <w:autoSpaceDN w:val="0"/>
      <w:adjustRightInd w:val="0"/>
      <w:spacing w:before="397" w:after="170" w:line="380" w:lineRule="atLeast"/>
      <w:textAlignment w:val="center"/>
    </w:pPr>
    <w:rPr>
      <w:rFonts w:ascii="Myriad Pro Light" w:hAnsi="Myriad Pro Light" w:cs="Myriad Pro Light"/>
      <w:color w:val="005595"/>
      <w:sz w:val="32"/>
      <w:szCs w:val="32"/>
      <w:lang w:val="en-US"/>
    </w:rPr>
  </w:style>
  <w:style w:type="paragraph" w:customStyle="1" w:styleId="03HEADING3">
    <w:name w:val="03. HEADING 3"/>
    <w:basedOn w:val="Normal"/>
    <w:uiPriority w:val="99"/>
    <w:rsid w:val="009E46FC"/>
    <w:pPr>
      <w:suppressAutoHyphens/>
      <w:autoSpaceDE w:val="0"/>
      <w:autoSpaceDN w:val="0"/>
      <w:adjustRightInd w:val="0"/>
      <w:spacing w:before="340" w:after="113" w:line="320" w:lineRule="atLeast"/>
      <w:textAlignment w:val="center"/>
    </w:pPr>
    <w:rPr>
      <w:rFonts w:ascii="Myriad Pro" w:hAnsi="Myriad Pro" w:cs="Myriad Pro"/>
      <w:color w:val="005595"/>
      <w:sz w:val="28"/>
      <w:szCs w:val="28"/>
      <w:lang w:val="en-GB"/>
    </w:rPr>
  </w:style>
  <w:style w:type="paragraph" w:customStyle="1" w:styleId="05BODYTEXT">
    <w:name w:val="05. BODY TEXT"/>
    <w:basedOn w:val="Normal"/>
    <w:uiPriority w:val="99"/>
    <w:rsid w:val="009E46FC"/>
    <w:pPr>
      <w:suppressAutoHyphens/>
      <w:autoSpaceDE w:val="0"/>
      <w:autoSpaceDN w:val="0"/>
      <w:adjustRightInd w:val="0"/>
      <w:spacing w:after="142" w:line="260" w:lineRule="atLeast"/>
      <w:textAlignment w:val="center"/>
    </w:pPr>
    <w:rPr>
      <w:rFonts w:ascii="Adobe Garamond Pro" w:hAnsi="Adobe Garamond Pro" w:cs="Adobe Garamond Pro"/>
      <w:color w:val="000000"/>
      <w:sz w:val="19"/>
      <w:szCs w:val="19"/>
      <w:lang w:val="en-US"/>
    </w:rPr>
  </w:style>
  <w:style w:type="character" w:customStyle="1" w:styleId="ITALIC">
    <w:name w:val="ITALIC"/>
    <w:uiPriority w:val="99"/>
    <w:rsid w:val="009E46FC"/>
    <w:rPr>
      <w:i/>
      <w:iCs/>
    </w:rPr>
  </w:style>
  <w:style w:type="paragraph" w:styleId="ListParagraph">
    <w:name w:val="List Paragraph"/>
    <w:basedOn w:val="Normal"/>
    <w:uiPriority w:val="34"/>
    <w:qFormat/>
    <w:rsid w:val="00744182"/>
    <w:pPr>
      <w:ind w:left="720"/>
      <w:contextualSpacing/>
    </w:pPr>
  </w:style>
  <w:style w:type="table" w:styleId="TableGrid">
    <w:name w:val="Table Grid"/>
    <w:basedOn w:val="TableNormal"/>
    <w:uiPriority w:val="39"/>
    <w:rsid w:val="001E2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TALICS">
    <w:name w:val="HEADER ITALICS"/>
    <w:basedOn w:val="Header"/>
    <w:qFormat/>
    <w:rsid w:val="00E21915"/>
    <w:pPr>
      <w:spacing w:before="2200"/>
      <w:ind w:left="-1077" w:right="-568"/>
      <w:jc w:val="right"/>
    </w:pPr>
    <w:rPr>
      <w:rFonts w:ascii="Adobe Garamond Pro" w:hAnsi="Adobe Garamond Pro" w:cs="Adobe Garamond Pro"/>
      <w:i/>
      <w:iCs/>
      <w:color w:val="B1BCD3"/>
      <w:sz w:val="110"/>
      <w:szCs w:val="110"/>
      <w:lang w:val="en-US"/>
    </w:rPr>
  </w:style>
  <w:style w:type="paragraph" w:styleId="BalloonText">
    <w:name w:val="Balloon Text"/>
    <w:basedOn w:val="Normal"/>
    <w:link w:val="BalloonTextChar"/>
    <w:uiPriority w:val="99"/>
    <w:semiHidden/>
    <w:unhideWhenUsed/>
    <w:rsid w:val="00B80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45C"/>
    <w:rPr>
      <w:rFonts w:ascii="Segoe UI" w:hAnsi="Segoe UI" w:cs="Segoe UI"/>
      <w:sz w:val="18"/>
      <w:szCs w:val="18"/>
    </w:rPr>
  </w:style>
  <w:style w:type="character" w:styleId="CommentReference">
    <w:name w:val="annotation reference"/>
    <w:basedOn w:val="DefaultParagraphFont"/>
    <w:uiPriority w:val="99"/>
    <w:semiHidden/>
    <w:unhideWhenUsed/>
    <w:rsid w:val="001C609A"/>
    <w:rPr>
      <w:sz w:val="16"/>
      <w:szCs w:val="16"/>
    </w:rPr>
  </w:style>
  <w:style w:type="paragraph" w:styleId="CommentText">
    <w:name w:val="annotation text"/>
    <w:basedOn w:val="Normal"/>
    <w:link w:val="CommentTextChar"/>
    <w:uiPriority w:val="99"/>
    <w:unhideWhenUsed/>
    <w:rsid w:val="001C609A"/>
    <w:rPr>
      <w:sz w:val="20"/>
      <w:szCs w:val="20"/>
    </w:rPr>
  </w:style>
  <w:style w:type="character" w:customStyle="1" w:styleId="CommentTextChar">
    <w:name w:val="Comment Text Char"/>
    <w:basedOn w:val="DefaultParagraphFont"/>
    <w:link w:val="CommentText"/>
    <w:uiPriority w:val="99"/>
    <w:rsid w:val="001C609A"/>
    <w:rPr>
      <w:sz w:val="20"/>
      <w:szCs w:val="20"/>
    </w:rPr>
  </w:style>
  <w:style w:type="paragraph" w:styleId="CommentSubject">
    <w:name w:val="annotation subject"/>
    <w:basedOn w:val="CommentText"/>
    <w:next w:val="CommentText"/>
    <w:link w:val="CommentSubjectChar"/>
    <w:uiPriority w:val="99"/>
    <w:semiHidden/>
    <w:unhideWhenUsed/>
    <w:rsid w:val="001C609A"/>
    <w:rPr>
      <w:b/>
      <w:bCs/>
    </w:rPr>
  </w:style>
  <w:style w:type="character" w:customStyle="1" w:styleId="CommentSubjectChar">
    <w:name w:val="Comment Subject Char"/>
    <w:basedOn w:val="CommentTextChar"/>
    <w:link w:val="CommentSubject"/>
    <w:uiPriority w:val="99"/>
    <w:semiHidden/>
    <w:rsid w:val="001C609A"/>
    <w:rPr>
      <w:b/>
      <w:bCs/>
      <w:sz w:val="20"/>
      <w:szCs w:val="20"/>
    </w:rPr>
  </w:style>
  <w:style w:type="character" w:customStyle="1" w:styleId="UnresolvedMention1">
    <w:name w:val="Unresolved Mention1"/>
    <w:basedOn w:val="DefaultParagraphFont"/>
    <w:uiPriority w:val="99"/>
    <w:semiHidden/>
    <w:unhideWhenUsed/>
    <w:rsid w:val="002E3CE7"/>
    <w:rPr>
      <w:color w:val="605E5C"/>
      <w:shd w:val="clear" w:color="auto" w:fill="E1DFDD"/>
    </w:rPr>
  </w:style>
  <w:style w:type="paragraph" w:customStyle="1" w:styleId="06DOTPOINTS">
    <w:name w:val="06. DOT POINTS"/>
    <w:basedOn w:val="Normal"/>
    <w:uiPriority w:val="99"/>
    <w:rsid w:val="00B7016C"/>
    <w:pPr>
      <w:autoSpaceDE w:val="0"/>
      <w:autoSpaceDN w:val="0"/>
      <w:spacing w:after="113" w:line="280" w:lineRule="atLeast"/>
      <w:ind w:left="283" w:hanging="283"/>
    </w:pPr>
    <w:rPr>
      <w:rFonts w:ascii="Calibri" w:hAnsi="Calibri" w:cs="Times New Roman"/>
      <w:color w:val="000000"/>
      <w:sz w:val="20"/>
      <w:szCs w:val="20"/>
    </w:rPr>
  </w:style>
  <w:style w:type="character" w:customStyle="1" w:styleId="UnresolvedMention10">
    <w:name w:val="Unresolved Mention1"/>
    <w:basedOn w:val="DefaultParagraphFont"/>
    <w:uiPriority w:val="99"/>
    <w:semiHidden/>
    <w:unhideWhenUsed/>
    <w:rsid w:val="00B442B6"/>
    <w:rPr>
      <w:color w:val="605E5C"/>
      <w:shd w:val="clear" w:color="auto" w:fill="E1DFDD"/>
    </w:rPr>
  </w:style>
  <w:style w:type="paragraph" w:styleId="Revision">
    <w:name w:val="Revision"/>
    <w:hidden/>
    <w:uiPriority w:val="99"/>
    <w:semiHidden/>
    <w:rsid w:val="00B44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legislation.gov.au/Series/C2004A00485"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iesc.environment.gov.au/publications/information-guidelines-independent-expert-scientific-committee-advice-coal-seam-gas"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28" Type="http://schemas.openxmlformats.org/officeDocument/2006/relationships/header" Target="header8.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www.environment.gov.au/resource/significant-impact-guidelines-13-coal-seam-gas-and-large-coal-mining-developments-impacts" TargetMode="Externa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hyperlink" Target="http://www.iesc.environment.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esc.environment.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esc.environment.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C35104623DF63C4CBA7C8A844E9BE1E7" ma:contentTypeVersion="8" ma:contentTypeDescription="SPIRE Document" ma:contentTypeScope="" ma:versionID="1c7daa9148dd7666fd0e9ea2060da80e">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aeca5470d34096f501cdd2650a3a8ec4"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48D5272F-1DF9-4397-B651-445026154167}">
  <ds:schemaRefs>
    <ds:schemaRef ds:uri="http://schemas.microsoft.com/sharepoint/v3/contenttype/forms"/>
  </ds:schemaRefs>
</ds:datastoreItem>
</file>

<file path=customXml/itemProps2.xml><?xml version="1.0" encoding="utf-8"?>
<ds:datastoreItem xmlns:ds="http://schemas.openxmlformats.org/officeDocument/2006/customXml" ds:itemID="{A9B8A9F1-86A7-4432-ACCD-5D898D28DE8B}">
  <ds:schemaRefs>
    <ds:schemaRef ds:uri="http://schemas.openxmlformats.org/officeDocument/2006/bibliography"/>
  </ds:schemaRefs>
</ds:datastoreItem>
</file>

<file path=customXml/itemProps3.xml><?xml version="1.0" encoding="utf-8"?>
<ds:datastoreItem xmlns:ds="http://schemas.openxmlformats.org/officeDocument/2006/customXml" ds:itemID="{3A5BFB3D-53ED-4D12-B9D1-57943785F7F6}"/>
</file>

<file path=customXml/itemProps4.xml><?xml version="1.0" encoding="utf-8"?>
<ds:datastoreItem xmlns:ds="http://schemas.openxmlformats.org/officeDocument/2006/customXml" ds:itemID="{4E1EEB0B-4E40-46ED-BAAB-157A0C8C5295}">
  <ds:schemaRefs>
    <ds:schemaRef ds:uri="http://schemas.microsoft.com/sharepoint/events"/>
  </ds:schemaRefs>
</ds:datastoreItem>
</file>

<file path=customXml/itemProps5.xml><?xml version="1.0" encoding="utf-8"?>
<ds:datastoreItem xmlns:ds="http://schemas.openxmlformats.org/officeDocument/2006/customXml" ds:itemID="{15AB7AB0-51F9-4752-83D4-A8B4ED9AF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4819CF-64B0-4C25-96BC-A36CF7C690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3e7952-617a-4d1d-acc5-2dff72d3e0ca"/>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Characterisation and modelling of geological fault zones - Summary guide</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Characterisation and modelling of geological fault zones - Summary guide</dc:title>
  <dc:subject/>
  <dc:creator>IESC</dc:creator>
  <cp:keywords/>
  <dc:description/>
  <cp:lastModifiedBy>Bec Durack</cp:lastModifiedBy>
  <cp:revision>2</cp:revision>
  <cp:lastPrinted>2021-03-23T05:15:00Z</cp:lastPrinted>
  <dcterms:created xsi:type="dcterms:W3CDTF">2021-04-23T01:25:00Z</dcterms:created>
  <dcterms:modified xsi:type="dcterms:W3CDTF">2021-04-23T01:25:00Z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WebId">
    <vt:lpwstr>{aa3e7952-617a-4d1d-acc5-2dff72d3e0ca}</vt:lpwstr>
  </property>
  <property fmtid="{D5CDD505-2E9C-101B-9397-08002B2CF9AE}" pid="7" name="RecordPoint_ActiveItemUniqueId">
    <vt:lpwstr>{566068e5-9f5e-46c3-ab00-53539035791c}</vt:lpwstr>
  </property>
  <property fmtid="{D5CDD505-2E9C-101B-9397-08002B2CF9AE}" pid="8" name="RecordPoint_RecordNumberSubmitted">
    <vt:lpwstr>003492491</vt:lpwstr>
  </property>
  <property fmtid="{D5CDD505-2E9C-101B-9397-08002B2CF9AE}" pid="9" name="RecordPoint_SubmissionCompleted">
    <vt:lpwstr>2020-09-10T13:38:52.7853612+10:00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