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0D7F2098"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w:t>
      </w:r>
      <w:r w:rsidR="00C02D21">
        <w:rPr>
          <w:b/>
          <w:sz w:val="22"/>
          <w:szCs w:val="22"/>
        </w:rPr>
        <w:t>3</w:t>
      </w:r>
      <w:r w:rsidRPr="0094790E">
        <w:rPr>
          <w:b/>
          <w:sz w:val="22"/>
          <w:szCs w:val="22"/>
        </w:rPr>
        <w:t>,</w:t>
      </w:r>
      <w:r w:rsidR="00F07D49">
        <w:rPr>
          <w:b/>
          <w:sz w:val="22"/>
          <w:szCs w:val="22"/>
        </w:rPr>
        <w:t xml:space="preserve"> </w:t>
      </w:r>
      <w:r w:rsidR="00287814">
        <w:rPr>
          <w:b/>
          <w:sz w:val="22"/>
          <w:szCs w:val="22"/>
        </w:rPr>
        <w:t>1</w:t>
      </w:r>
      <w:r w:rsidR="00C02D21">
        <w:rPr>
          <w:b/>
          <w:sz w:val="22"/>
          <w:szCs w:val="22"/>
        </w:rPr>
        <w:t xml:space="preserve"> – 4 February 2022</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A9600C"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8D38157" w:rsidR="00F07D49" w:rsidRDefault="00F07D49" w:rsidP="00A431C1">
      <w:pPr>
        <w:tabs>
          <w:tab w:val="left" w:pos="426"/>
        </w:tabs>
        <w:spacing w:after="0"/>
        <w:rPr>
          <w:rFonts w:cs="Arial"/>
          <w:sz w:val="22"/>
          <w:szCs w:val="22"/>
        </w:rPr>
        <w:sectPr w:rsidR="00F07D49" w:rsidSect="00F07D49">
          <w:type w:val="continuous"/>
          <w:pgSz w:w="11906" w:h="16838"/>
          <w:pgMar w:top="663" w:right="1134" w:bottom="261" w:left="1276" w:header="425" w:footer="828" w:gutter="0"/>
          <w:pgNumType w:start="1"/>
          <w:cols w:num="2" w:space="708"/>
          <w:titlePg/>
          <w:docGrid w:linePitch="360"/>
        </w:sectPr>
      </w:pPr>
    </w:p>
    <w:p w14:paraId="004A5505" w14:textId="6258C514" w:rsidR="00FE5E5E"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Pr>
          <w:rFonts w:cs="Arial"/>
          <w:sz w:val="22"/>
          <w:szCs w:val="22"/>
        </w:rPr>
        <w:t xml:space="preserve"> </w:t>
      </w:r>
      <w:r w:rsidR="003E544F">
        <w:rPr>
          <w:rFonts w:cs="Arial"/>
          <w:sz w:val="22"/>
          <w:szCs w:val="22"/>
        </w:rPr>
        <w:t>(</w:t>
      </w:r>
      <w:r w:rsidR="009463FE">
        <w:rPr>
          <w:rFonts w:cs="Arial"/>
          <w:sz w:val="22"/>
          <w:szCs w:val="22"/>
        </w:rPr>
        <w:t>Items 1, 2.1, 2.2 [2 Feb], 3.1-3.3 &amp; 3.5</w:t>
      </w:r>
      <w:r w:rsidR="003E544F">
        <w:rPr>
          <w:rFonts w:cs="Arial"/>
          <w:sz w:val="22"/>
          <w:szCs w:val="22"/>
        </w:rPr>
        <w:t>)</w:t>
      </w:r>
    </w:p>
    <w:p w14:paraId="65491790" w14:textId="301D9B9F" w:rsidR="00A431C1" w:rsidRDefault="00A431C1" w:rsidP="00A431C1">
      <w:pPr>
        <w:tabs>
          <w:tab w:val="left" w:pos="426"/>
        </w:tabs>
        <w:spacing w:after="0"/>
        <w:rPr>
          <w:rFonts w:cs="Arial"/>
          <w:sz w:val="22"/>
          <w:szCs w:val="22"/>
        </w:rPr>
      </w:pPr>
      <w:r w:rsidRPr="00FF1CE9">
        <w:rPr>
          <w:rFonts w:cs="Arial"/>
          <w:sz w:val="22"/>
          <w:szCs w:val="22"/>
        </w:rPr>
        <w:t>Dr Andrew Boulton</w:t>
      </w:r>
      <w:r w:rsidR="003E544F" w:rsidRPr="00FF1CE9">
        <w:rPr>
          <w:rFonts w:cs="Arial"/>
          <w:sz w:val="22"/>
          <w:szCs w:val="22"/>
        </w:rPr>
        <w:t xml:space="preserve"> (Items 1, 2, 3.</w:t>
      </w:r>
      <w:r w:rsidR="008D66A2" w:rsidRPr="00FF1CE9">
        <w:rPr>
          <w:rFonts w:cs="Arial"/>
          <w:sz w:val="22"/>
          <w:szCs w:val="22"/>
        </w:rPr>
        <w:t>2</w:t>
      </w:r>
      <w:r w:rsidR="003E544F" w:rsidRPr="00FF1CE9">
        <w:rPr>
          <w:rFonts w:cs="Arial"/>
          <w:sz w:val="22"/>
          <w:szCs w:val="22"/>
        </w:rPr>
        <w:t>-3.5 &amp; 4)</w:t>
      </w:r>
    </w:p>
    <w:p w14:paraId="405AE745" w14:textId="63B8F8AE" w:rsidR="00F75859" w:rsidRDefault="00F758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746FBB1D" w14:textId="77777777" w:rsidR="00D21D76" w:rsidRDefault="00D21D76" w:rsidP="00A431C1">
      <w:pPr>
        <w:tabs>
          <w:tab w:val="left" w:pos="426"/>
        </w:tabs>
        <w:spacing w:after="0"/>
        <w:rPr>
          <w:rFonts w:cs="Arial"/>
          <w:sz w:val="22"/>
          <w:szCs w:val="22"/>
        </w:rPr>
        <w:sectPr w:rsidR="00D21D76" w:rsidSect="00D21D76">
          <w:type w:val="continuous"/>
          <w:pgSz w:w="11906" w:h="16838"/>
          <w:pgMar w:top="663" w:right="1134" w:bottom="261" w:left="1276" w:header="425" w:footer="828" w:gutter="0"/>
          <w:pgNumType w:start="1"/>
          <w:cols w:space="708"/>
          <w:titlePg/>
          <w:docGrid w:linePitch="360"/>
        </w:sectPr>
      </w:pPr>
    </w:p>
    <w:p w14:paraId="5CC1805A" w14:textId="77777777" w:rsidR="0064002D" w:rsidRDefault="0064002D" w:rsidP="0064002D">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3854FCF3" w14:textId="488D06D9" w:rsidR="00A431C1" w:rsidRPr="00DC77E2" w:rsidRDefault="00F75859" w:rsidP="00A431C1">
      <w:pPr>
        <w:tabs>
          <w:tab w:val="left" w:pos="426"/>
        </w:tabs>
        <w:spacing w:after="0"/>
        <w:rPr>
          <w:rFonts w:cs="Arial"/>
          <w:sz w:val="20"/>
          <w:szCs w:val="20"/>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Phil Hayes</w:t>
      </w:r>
      <w:r w:rsidR="00CA5D58" w:rsidRPr="674968F3">
        <w:rPr>
          <w:rFonts w:cs="Arial"/>
          <w:sz w:val="22"/>
          <w:szCs w:val="22"/>
        </w:rPr>
        <w:t xml:space="preserve"> </w:t>
      </w:r>
      <w:r w:rsidR="00601987">
        <w:rPr>
          <w:rFonts w:cs="Arial"/>
          <w:sz w:val="22"/>
          <w:szCs w:val="22"/>
        </w:rPr>
        <w:t>(Items 1.1-1.4</w:t>
      </w:r>
      <w:r w:rsidR="00FF1CE9">
        <w:rPr>
          <w:rFonts w:cs="Arial"/>
          <w:sz w:val="22"/>
          <w:szCs w:val="22"/>
        </w:rPr>
        <w:t xml:space="preserve"> &amp; </w:t>
      </w:r>
      <w:r w:rsidR="00601987" w:rsidRPr="002C2056">
        <w:rPr>
          <w:rFonts w:cs="Arial"/>
          <w:sz w:val="22"/>
          <w:szCs w:val="22"/>
        </w:rPr>
        <w:t>3</w:t>
      </w:r>
      <w:r w:rsidR="00601987">
        <w:rPr>
          <w:rFonts w:cs="Arial"/>
          <w:sz w:val="22"/>
          <w:szCs w:val="22"/>
        </w:rPr>
        <w:t>)</w:t>
      </w:r>
    </w:p>
    <w:p w14:paraId="6569460E" w14:textId="6C58DFC6" w:rsidR="001E5C1C" w:rsidRDefault="00A431C1" w:rsidP="00A431C1">
      <w:pPr>
        <w:tabs>
          <w:tab w:val="left" w:pos="426"/>
        </w:tabs>
        <w:spacing w:after="0"/>
        <w:rPr>
          <w:rFonts w:cs="Arial"/>
          <w:sz w:val="22"/>
          <w:szCs w:val="22"/>
        </w:rPr>
      </w:pPr>
      <w:r w:rsidRPr="0094790E">
        <w:rPr>
          <w:rFonts w:cs="Arial"/>
          <w:sz w:val="22"/>
          <w:szCs w:val="22"/>
        </w:rPr>
        <w:t>Professor Wendy Timms</w:t>
      </w:r>
      <w:r w:rsidR="00B92877">
        <w:rPr>
          <w:rFonts w:cs="Arial"/>
          <w:sz w:val="22"/>
          <w:szCs w:val="22"/>
        </w:rPr>
        <w:t xml:space="preserve"> </w:t>
      </w:r>
    </w:p>
    <w:p w14:paraId="6953F5EC" w14:textId="3DB3C577" w:rsidR="00EE4B85" w:rsidRDefault="00EE4B85" w:rsidP="00EE4B85">
      <w:pPr>
        <w:tabs>
          <w:tab w:val="left" w:pos="426"/>
        </w:tabs>
        <w:spacing w:before="240" w:after="120"/>
        <w:rPr>
          <w:rFonts w:cs="Arial"/>
          <w:sz w:val="22"/>
          <w:szCs w:val="22"/>
        </w:rPr>
      </w:pPr>
      <w:r>
        <w:rPr>
          <w:rFonts w:cs="Arial"/>
          <w:sz w:val="22"/>
          <w:szCs w:val="22"/>
        </w:rPr>
        <w:t>APOLOGIES</w:t>
      </w:r>
    </w:p>
    <w:p w14:paraId="27AEF0C2" w14:textId="77777777" w:rsidR="00EE4B85" w:rsidRDefault="00EE4B85" w:rsidP="00EE4B85">
      <w:pPr>
        <w:tabs>
          <w:tab w:val="left" w:pos="426"/>
        </w:tabs>
        <w:spacing w:after="0"/>
        <w:rPr>
          <w:rFonts w:cs="Arial"/>
          <w:sz w:val="22"/>
          <w:szCs w:val="22"/>
        </w:rPr>
      </w:pPr>
      <w:r>
        <w:rPr>
          <w:rFonts w:cs="Arial"/>
          <w:sz w:val="22"/>
          <w:szCs w:val="22"/>
        </w:rPr>
        <w:t>Professor Rory Nathan</w:t>
      </w:r>
    </w:p>
    <w:p w14:paraId="331BB750" w14:textId="3F91DB5B" w:rsidR="00DB00C6" w:rsidRDefault="00DB00C6" w:rsidP="00EE4B85">
      <w:pPr>
        <w:tabs>
          <w:tab w:val="left" w:pos="426"/>
        </w:tabs>
        <w:spacing w:after="0"/>
        <w:rPr>
          <w:rFonts w:cs="Arial"/>
          <w:sz w:val="22"/>
          <w:szCs w:val="22"/>
        </w:rPr>
      </w:pPr>
    </w:p>
    <w:p w14:paraId="25DB74F7" w14:textId="77777777" w:rsidR="00DB00C6" w:rsidRPr="00797B2E" w:rsidRDefault="00DB00C6" w:rsidP="00DB00C6">
      <w:pPr>
        <w:pStyle w:val="paragraph"/>
        <w:spacing w:before="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6F22DECD" w14:textId="77777777" w:rsidR="00DB00C6" w:rsidRPr="005A5586" w:rsidRDefault="00DB00C6" w:rsidP="00DB00C6">
      <w:pPr>
        <w:pStyle w:val="paragraph"/>
        <w:spacing w:before="240" w:beforeAutospacing="0" w:after="120" w:afterAutospacing="0"/>
        <w:textAlignment w:val="baseline"/>
        <w:rPr>
          <w:rStyle w:val="normaltextrun"/>
          <w:rFonts w:ascii="Calibri" w:eastAsiaTheme="minorEastAsia" w:hAnsi="Calibri" w:cs="Calibri"/>
          <w:i/>
          <w:sz w:val="22"/>
          <w:szCs w:val="22"/>
        </w:rPr>
      </w:pPr>
      <w:r w:rsidRPr="005A5586">
        <w:rPr>
          <w:rStyle w:val="normaltextrun"/>
          <w:rFonts w:ascii="Calibri" w:eastAsiaTheme="minorEastAsia" w:hAnsi="Calibri" w:cs="Calibri"/>
          <w:i/>
          <w:sz w:val="22"/>
          <w:szCs w:val="22"/>
        </w:rPr>
        <w:t>Item 3.1</w:t>
      </w:r>
    </w:p>
    <w:p w14:paraId="27CA4BB8" w14:textId="4A38CA9D" w:rsidR="00DB00C6" w:rsidRPr="000E26FC" w:rsidRDefault="00DB00C6" w:rsidP="00DB00C6">
      <w:pPr>
        <w:pStyle w:val="paragraph"/>
        <w:spacing w:before="0" w:beforeAutospacing="0" w:after="0" w:afterAutospacing="0"/>
        <w:ind w:left="142" w:hanging="142"/>
        <w:textAlignment w:val="baseline"/>
        <w:rPr>
          <w:rStyle w:val="normaltextrun"/>
          <w:rFonts w:asciiTheme="minorHAnsi" w:eastAsiaTheme="minorEastAsia" w:hAnsiTheme="minorHAnsi" w:cstheme="minorHAnsi"/>
          <w:sz w:val="22"/>
          <w:szCs w:val="22"/>
        </w:rPr>
      </w:pPr>
      <w:r w:rsidRPr="000E26FC">
        <w:rPr>
          <w:rStyle w:val="eop"/>
          <w:rFonts w:asciiTheme="minorHAnsi" w:hAnsiTheme="minorHAnsi" w:cstheme="minorHAnsi"/>
          <w:sz w:val="22"/>
          <w:szCs w:val="22"/>
        </w:rPr>
        <w:t xml:space="preserve">Fabienne d'Hautefeuille, </w:t>
      </w:r>
      <w:r w:rsidRPr="000E26FC">
        <w:rPr>
          <w:rFonts w:asciiTheme="minorHAnsi" w:hAnsiTheme="minorHAnsi" w:cstheme="minorHAnsi"/>
          <w:sz w:val="22"/>
          <w:szCs w:val="22"/>
        </w:rPr>
        <w:t>Manager</w:t>
      </w:r>
      <w:r>
        <w:rPr>
          <w:rFonts w:asciiTheme="minorHAnsi" w:hAnsiTheme="minorHAnsi" w:cstheme="minorHAnsi"/>
          <w:sz w:val="22"/>
          <w:szCs w:val="22"/>
        </w:rPr>
        <w:t xml:space="preserve"> </w:t>
      </w:r>
      <w:r w:rsidRPr="000E26FC">
        <w:rPr>
          <w:rFonts w:asciiTheme="minorHAnsi" w:hAnsiTheme="minorHAnsi" w:cstheme="minorHAnsi"/>
          <w:sz w:val="22"/>
          <w:szCs w:val="22"/>
        </w:rPr>
        <w:t>Groundwater Management and Science - Water Knowledge, Water</w:t>
      </w:r>
      <w:r>
        <w:rPr>
          <w:rFonts w:asciiTheme="minorHAnsi" w:hAnsiTheme="minorHAnsi" w:cstheme="minorHAnsi"/>
          <w:sz w:val="22"/>
          <w:szCs w:val="22"/>
        </w:rPr>
        <w:t> </w:t>
      </w:r>
      <w:r w:rsidRPr="000E26FC">
        <w:rPr>
          <w:rFonts w:asciiTheme="minorHAnsi" w:hAnsiTheme="minorHAnsi" w:cstheme="minorHAnsi"/>
          <w:sz w:val="22"/>
          <w:szCs w:val="22"/>
        </w:rPr>
        <w:t xml:space="preserve">Division, </w:t>
      </w:r>
      <w:r w:rsidRPr="000E26FC">
        <w:rPr>
          <w:rStyle w:val="eop"/>
          <w:rFonts w:asciiTheme="minorHAnsi" w:hAnsiTheme="minorHAnsi" w:cstheme="minorHAnsi"/>
          <w:sz w:val="22"/>
          <w:szCs w:val="22"/>
        </w:rPr>
        <w:t xml:space="preserve">NSW </w:t>
      </w:r>
      <w:r w:rsidRPr="000E26FC">
        <w:rPr>
          <w:rFonts w:asciiTheme="minorHAnsi" w:hAnsiTheme="minorHAnsi" w:cstheme="minorHAnsi"/>
          <w:sz w:val="22"/>
          <w:szCs w:val="22"/>
        </w:rPr>
        <w:t>Department of Planning and Environment</w:t>
      </w:r>
      <w:r w:rsidRPr="000E26FC">
        <w:rPr>
          <w:rStyle w:val="eop"/>
          <w:rFonts w:asciiTheme="minorHAnsi" w:hAnsiTheme="minorHAnsi" w:cstheme="minorHAnsi"/>
          <w:sz w:val="22"/>
          <w:szCs w:val="22"/>
        </w:rPr>
        <w:t xml:space="preserve"> </w:t>
      </w:r>
    </w:p>
    <w:p w14:paraId="16C7A564" w14:textId="371538C9" w:rsidR="00DB00C6" w:rsidRPr="00C3021D" w:rsidRDefault="00DB00C6" w:rsidP="00DB00C6">
      <w:pPr>
        <w:pStyle w:val="paragraph"/>
        <w:spacing w:before="0" w:beforeAutospacing="0" w:after="0" w:afterAutospacing="0"/>
        <w:ind w:left="142" w:hanging="142"/>
        <w:textAlignment w:val="baseline"/>
        <w:rPr>
          <w:rStyle w:val="eop"/>
          <w:rFonts w:ascii="Calibri" w:eastAsiaTheme="minorEastAsia" w:hAnsi="Calibri" w:cs="Calibri"/>
          <w:sz w:val="22"/>
          <w:szCs w:val="22"/>
        </w:rPr>
      </w:pPr>
      <w:r w:rsidRPr="0059529D">
        <w:rPr>
          <w:rStyle w:val="normaltextrun"/>
          <w:rFonts w:ascii="Calibri" w:eastAsiaTheme="minorEastAsia" w:hAnsi="Calibri" w:cs="Calibri"/>
          <w:sz w:val="22"/>
          <w:szCs w:val="22"/>
        </w:rPr>
        <w:t>Richard Green, Senior Hydrogeologist – Groundwater Management and Science</w:t>
      </w:r>
      <w:r w:rsidR="00440274">
        <w:rPr>
          <w:rStyle w:val="normaltextrun"/>
          <w:rFonts w:ascii="Calibri" w:eastAsiaTheme="minorEastAsia" w:hAnsi="Calibri" w:cs="Calibri"/>
          <w:sz w:val="22"/>
          <w:szCs w:val="22"/>
        </w:rPr>
        <w:t xml:space="preserve"> - Water Knowledge</w:t>
      </w:r>
      <w:r w:rsidRPr="0059529D">
        <w:rPr>
          <w:rStyle w:val="normaltextrun"/>
          <w:rFonts w:ascii="Calibri" w:eastAsiaTheme="minorEastAsia" w:hAnsi="Calibri" w:cs="Calibri"/>
          <w:sz w:val="22"/>
          <w:szCs w:val="22"/>
        </w:rPr>
        <w:t>, Water Division, NSW</w:t>
      </w:r>
      <w:r>
        <w:rPr>
          <w:rStyle w:val="normaltextrun"/>
          <w:rFonts w:ascii="Calibri" w:eastAsiaTheme="minorEastAsia" w:hAnsi="Calibri" w:cs="Calibri"/>
          <w:sz w:val="22"/>
          <w:szCs w:val="22"/>
        </w:rPr>
        <w:t> </w:t>
      </w:r>
      <w:r w:rsidRPr="0059529D">
        <w:rPr>
          <w:rStyle w:val="normaltextrun"/>
          <w:rFonts w:ascii="Calibri" w:eastAsiaTheme="minorEastAsia" w:hAnsi="Calibri" w:cs="Calibri"/>
          <w:sz w:val="22"/>
          <w:szCs w:val="22"/>
        </w:rPr>
        <w:t>D</w:t>
      </w:r>
      <w:r w:rsidR="00440274">
        <w:rPr>
          <w:rStyle w:val="normaltextrun"/>
          <w:rFonts w:ascii="Calibri" w:eastAsiaTheme="minorEastAsia" w:hAnsi="Calibri" w:cs="Calibri"/>
          <w:sz w:val="22"/>
          <w:szCs w:val="22"/>
        </w:rPr>
        <w:t>epartment of Planning and Environment</w:t>
      </w:r>
    </w:p>
    <w:p w14:paraId="0420B51D" w14:textId="76C1D942" w:rsidR="00DB00C6" w:rsidRPr="0059529D" w:rsidRDefault="00DB00C6" w:rsidP="00DB00C6">
      <w:pPr>
        <w:pStyle w:val="paragraph"/>
        <w:spacing w:before="0" w:beforeAutospacing="0" w:after="0" w:afterAutospacing="0"/>
        <w:ind w:left="142" w:hanging="142"/>
        <w:textAlignment w:val="baseline"/>
        <w:rPr>
          <w:rStyle w:val="normaltextrun"/>
          <w:rFonts w:ascii="Calibri" w:eastAsiaTheme="minorEastAsia" w:hAnsi="Calibri" w:cs="Calibri"/>
          <w:sz w:val="22"/>
          <w:szCs w:val="22"/>
        </w:rPr>
      </w:pPr>
      <w:r w:rsidRPr="0059529D">
        <w:rPr>
          <w:rStyle w:val="normaltextrun"/>
          <w:rFonts w:ascii="Calibri" w:eastAsiaTheme="minorEastAsia" w:hAnsi="Calibri" w:cs="Calibri"/>
          <w:sz w:val="22"/>
          <w:szCs w:val="22"/>
        </w:rPr>
        <w:t>John Williams, Senior Hydrogeologist</w:t>
      </w:r>
      <w:r w:rsidR="00440274">
        <w:rPr>
          <w:rStyle w:val="normaltextrun"/>
          <w:rFonts w:ascii="Calibri" w:eastAsiaTheme="minorEastAsia" w:hAnsi="Calibri" w:cs="Calibri"/>
          <w:sz w:val="22"/>
          <w:szCs w:val="22"/>
        </w:rPr>
        <w:t xml:space="preserve"> – Groundwater Management and Science - Water Knowledge</w:t>
      </w:r>
      <w:r w:rsidRPr="0059529D">
        <w:rPr>
          <w:rStyle w:val="normaltextrun"/>
          <w:rFonts w:ascii="Calibri" w:eastAsiaTheme="minorEastAsia" w:hAnsi="Calibri" w:cs="Calibri"/>
          <w:sz w:val="22"/>
          <w:szCs w:val="22"/>
        </w:rPr>
        <w:t>, Water Division, NSW D</w:t>
      </w:r>
      <w:r w:rsidR="00440274">
        <w:rPr>
          <w:rStyle w:val="normaltextrun"/>
          <w:rFonts w:ascii="Calibri" w:eastAsiaTheme="minorEastAsia" w:hAnsi="Calibri" w:cs="Calibri"/>
          <w:sz w:val="22"/>
          <w:szCs w:val="22"/>
        </w:rPr>
        <w:t>epartment of Planning and Environment</w:t>
      </w:r>
      <w:r w:rsidRPr="0059529D">
        <w:rPr>
          <w:rStyle w:val="normaltextrun"/>
          <w:rFonts w:ascii="Calibri" w:eastAsiaTheme="minorEastAsia" w:hAnsi="Calibri" w:cs="Calibri"/>
          <w:sz w:val="22"/>
          <w:szCs w:val="22"/>
        </w:rPr>
        <w:t xml:space="preserve"> </w:t>
      </w:r>
    </w:p>
    <w:p w14:paraId="75D0CD75" w14:textId="77777777" w:rsidR="00DB00C6" w:rsidRPr="005A5586" w:rsidRDefault="00DB00C6" w:rsidP="00DB00C6">
      <w:pPr>
        <w:pStyle w:val="paragraph"/>
        <w:spacing w:before="240" w:beforeAutospacing="0" w:after="120" w:afterAutospacing="0"/>
        <w:textAlignment w:val="baseline"/>
        <w:rPr>
          <w:rStyle w:val="normaltextrun"/>
          <w:rFonts w:ascii="Calibri" w:eastAsiaTheme="minorEastAsia" w:hAnsi="Calibri" w:cs="Calibri"/>
          <w:i/>
          <w:sz w:val="22"/>
          <w:szCs w:val="22"/>
        </w:rPr>
      </w:pPr>
      <w:r w:rsidRPr="005A5586">
        <w:rPr>
          <w:rStyle w:val="normaltextrun"/>
          <w:rFonts w:ascii="Calibri" w:eastAsiaTheme="minorEastAsia" w:hAnsi="Calibri" w:cs="Calibri"/>
          <w:i/>
          <w:sz w:val="22"/>
          <w:szCs w:val="22"/>
        </w:rPr>
        <w:t>Item 3.3</w:t>
      </w:r>
    </w:p>
    <w:p w14:paraId="6666FCFC" w14:textId="77777777" w:rsidR="00DB00C6" w:rsidRPr="0059529D" w:rsidRDefault="00DB00C6" w:rsidP="00DB00C6">
      <w:pPr>
        <w:pStyle w:val="paragraph"/>
        <w:spacing w:before="0" w:beforeAutospacing="0" w:after="0" w:afterAutospacing="0"/>
        <w:textAlignment w:val="baseline"/>
        <w:rPr>
          <w:rStyle w:val="normaltextrun"/>
          <w:rFonts w:ascii="Calibri" w:eastAsiaTheme="minorEastAsia" w:hAnsi="Calibri" w:cs="Calibri"/>
          <w:sz w:val="22"/>
          <w:szCs w:val="22"/>
        </w:rPr>
      </w:pPr>
      <w:r w:rsidRPr="0059529D">
        <w:rPr>
          <w:rStyle w:val="normaltextrun"/>
          <w:rFonts w:ascii="Calibri" w:eastAsiaTheme="minorEastAsia" w:hAnsi="Calibri" w:cs="Calibri"/>
          <w:sz w:val="22"/>
          <w:szCs w:val="22"/>
        </w:rPr>
        <w:t>Jennifer Hale, Aquatic Ecologist</w:t>
      </w:r>
    </w:p>
    <w:p w14:paraId="59990082" w14:textId="28965CFA" w:rsidR="00DB00C6" w:rsidRPr="00BC585E" w:rsidRDefault="00DB00C6" w:rsidP="00BC585E">
      <w:pPr>
        <w:pStyle w:val="paragraph"/>
        <w:spacing w:before="0" w:beforeAutospacing="0" w:after="0" w:afterAutospacing="0"/>
        <w:textAlignment w:val="baseline"/>
        <w:rPr>
          <w:rFonts w:ascii="Calibri" w:eastAsiaTheme="minorEastAsia" w:hAnsi="Calibri" w:cs="Calibri"/>
          <w:sz w:val="22"/>
          <w:szCs w:val="22"/>
        </w:rPr>
      </w:pPr>
      <w:r w:rsidRPr="0059529D">
        <w:rPr>
          <w:rStyle w:val="normaltextrun"/>
          <w:rFonts w:ascii="Calibri" w:eastAsiaTheme="minorEastAsia" w:hAnsi="Calibri" w:cs="Calibri"/>
          <w:sz w:val="22"/>
          <w:szCs w:val="22"/>
        </w:rPr>
        <w:t>Michelle Dickson</w:t>
      </w:r>
      <w:r>
        <w:rPr>
          <w:rStyle w:val="normaltextrun"/>
          <w:rFonts w:ascii="Calibri" w:eastAsiaTheme="minorEastAsia" w:hAnsi="Calibri" w:cs="Calibri"/>
          <w:sz w:val="22"/>
          <w:szCs w:val="22"/>
        </w:rPr>
        <w:t>, Director, Blue Sense Consulting</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43098FB5" w14:textId="77777777" w:rsidR="00DB00C6" w:rsidRDefault="00DB00C6" w:rsidP="00C236CE">
      <w:pPr>
        <w:tabs>
          <w:tab w:val="left" w:pos="426"/>
        </w:tabs>
        <w:spacing w:after="0"/>
        <w:ind w:left="142" w:hanging="142"/>
        <w:rPr>
          <w:rFonts w:cs="Arial"/>
          <w:sz w:val="22"/>
          <w:szCs w:val="22"/>
        </w:rPr>
        <w:sectPr w:rsidR="00DB00C6" w:rsidSect="000F70ED">
          <w:type w:val="continuous"/>
          <w:pgSz w:w="11906" w:h="16838"/>
          <w:pgMar w:top="663" w:right="1134" w:bottom="709" w:left="1276" w:header="425" w:footer="828" w:gutter="0"/>
          <w:pgNumType w:start="1"/>
          <w:cols w:space="708"/>
          <w:titlePg/>
          <w:docGrid w:linePitch="360"/>
        </w:sectPr>
      </w:pPr>
    </w:p>
    <w:p w14:paraId="35C28F86" w14:textId="6AF9B1C6" w:rsidR="0002367F" w:rsidRPr="005157DA" w:rsidRDefault="0002367F" w:rsidP="0002367F">
      <w:pPr>
        <w:tabs>
          <w:tab w:val="left" w:pos="426"/>
        </w:tabs>
        <w:spacing w:after="0"/>
        <w:ind w:left="142" w:right="-2" w:hanging="142"/>
        <w:rPr>
          <w:rFonts w:cs="Arial"/>
          <w:sz w:val="20"/>
          <w:szCs w:val="20"/>
        </w:rPr>
      </w:pPr>
      <w:r>
        <w:rPr>
          <w:rFonts w:cs="Arial"/>
          <w:sz w:val="22"/>
          <w:szCs w:val="22"/>
        </w:rPr>
        <w:t>Alison McMorrow, Assistant Secretary Biodiversity Policy &amp; Water Science</w:t>
      </w:r>
      <w:r w:rsidRPr="009A245C">
        <w:rPr>
          <w:rFonts w:cs="Arial"/>
        </w:rPr>
        <w:t xml:space="preserve"> </w:t>
      </w:r>
      <w:r w:rsidRPr="009A245C">
        <w:rPr>
          <w:rStyle w:val="normaltextrun"/>
          <w:rFonts w:ascii="Calibri" w:hAnsi="Calibri" w:cs="Calibri"/>
          <w:color w:val="000000"/>
          <w:sz w:val="22"/>
          <w:szCs w:val="22"/>
          <w:bdr w:val="none" w:sz="0" w:space="0" w:color="auto" w:frame="1"/>
        </w:rPr>
        <w:t>(Item 3.4)</w:t>
      </w:r>
    </w:p>
    <w:p w14:paraId="636756B6" w14:textId="12C3E844"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p>
    <w:p w14:paraId="00B22DD5" w14:textId="00EF2656" w:rsidR="00B92877" w:rsidRDefault="00B92877" w:rsidP="00C236CE">
      <w:pPr>
        <w:tabs>
          <w:tab w:val="left" w:pos="426"/>
        </w:tabs>
        <w:spacing w:after="0"/>
        <w:ind w:left="142" w:hanging="142"/>
        <w:rPr>
          <w:rFonts w:cs="Arial"/>
          <w:sz w:val="22"/>
          <w:szCs w:val="22"/>
        </w:rPr>
      </w:pPr>
      <w:r>
        <w:rPr>
          <w:rFonts w:cs="Arial"/>
          <w:sz w:val="22"/>
          <w:szCs w:val="22"/>
        </w:rPr>
        <w:t>Aimee McAllister</w:t>
      </w:r>
    </w:p>
    <w:p w14:paraId="719E5CEC" w14:textId="4D4CBBB2" w:rsidR="00D84349" w:rsidRDefault="00D84349" w:rsidP="00C236CE">
      <w:pPr>
        <w:tabs>
          <w:tab w:val="left" w:pos="426"/>
        </w:tabs>
        <w:spacing w:after="0"/>
        <w:ind w:left="142" w:hanging="142"/>
        <w:rPr>
          <w:rFonts w:cs="Arial"/>
          <w:sz w:val="22"/>
          <w:szCs w:val="22"/>
        </w:rPr>
      </w:pPr>
      <w:r>
        <w:rPr>
          <w:rFonts w:cs="Arial"/>
          <w:sz w:val="22"/>
          <w:szCs w:val="22"/>
        </w:rPr>
        <w:t>Andriana Stoddart</w:t>
      </w:r>
    </w:p>
    <w:p w14:paraId="6EE83E33" w14:textId="125A8B67" w:rsidR="00C236CE" w:rsidRDefault="00C236CE" w:rsidP="00402A1C">
      <w:pPr>
        <w:tabs>
          <w:tab w:val="left" w:pos="426"/>
        </w:tabs>
        <w:spacing w:after="0"/>
        <w:ind w:left="142" w:hanging="142"/>
        <w:rPr>
          <w:rFonts w:cs="Arial"/>
          <w:sz w:val="22"/>
          <w:szCs w:val="22"/>
        </w:rPr>
      </w:pPr>
      <w:r>
        <w:rPr>
          <w:rFonts w:cs="Arial"/>
          <w:sz w:val="22"/>
          <w:szCs w:val="22"/>
        </w:rPr>
        <w:lastRenderedPageBreak/>
        <w:t xml:space="preserve">Aranza Bulnes-Beniscelli </w:t>
      </w:r>
    </w:p>
    <w:p w14:paraId="5EA72CAD" w14:textId="389A2383"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 xml:space="preserve">Benjamin Klug </w:t>
      </w:r>
    </w:p>
    <w:p w14:paraId="4E69D651" w14:textId="4AD95FD7" w:rsidR="00C236CE" w:rsidRPr="00633D56" w:rsidRDefault="00C236CE" w:rsidP="00D14656">
      <w:pPr>
        <w:tabs>
          <w:tab w:val="left" w:pos="426"/>
        </w:tabs>
        <w:spacing w:after="0"/>
        <w:ind w:left="142" w:hanging="142"/>
        <w:rPr>
          <w:rFonts w:cs="Arial"/>
          <w:sz w:val="22"/>
          <w:szCs w:val="22"/>
        </w:rPr>
      </w:pPr>
      <w:r w:rsidRPr="00633D56">
        <w:rPr>
          <w:rFonts w:cs="Arial"/>
          <w:sz w:val="22"/>
          <w:szCs w:val="22"/>
        </w:rPr>
        <w:t xml:space="preserve">Christina Fawns </w:t>
      </w:r>
    </w:p>
    <w:p w14:paraId="08FAB86B" w14:textId="49B43804" w:rsidR="00C236CE" w:rsidRPr="00633D56" w:rsidRDefault="00C236CE"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633D56">
        <w:rPr>
          <w:rFonts w:cs="Arial"/>
          <w:sz w:val="22"/>
          <w:szCs w:val="22"/>
        </w:rPr>
        <w:t xml:space="preserve">Dominica O’Dea </w:t>
      </w:r>
    </w:p>
    <w:p w14:paraId="336B5F00" w14:textId="096D9C69" w:rsidR="00D84349" w:rsidRPr="00633D56" w:rsidRDefault="00D84349" w:rsidP="00C236CE">
      <w:pPr>
        <w:tabs>
          <w:tab w:val="left" w:pos="426"/>
        </w:tabs>
        <w:spacing w:after="0"/>
        <w:ind w:left="142" w:hanging="142"/>
        <w:rPr>
          <w:rFonts w:cs="Arial"/>
          <w:sz w:val="22"/>
          <w:szCs w:val="22"/>
        </w:rPr>
      </w:pPr>
      <w:r w:rsidRPr="00633D56">
        <w:rPr>
          <w:rFonts w:cs="Arial"/>
          <w:sz w:val="22"/>
          <w:szCs w:val="22"/>
        </w:rPr>
        <w:t>Fiona McKenzie-Smith</w:t>
      </w:r>
    </w:p>
    <w:p w14:paraId="151F6256" w14:textId="40AC2802" w:rsidR="00720AD3" w:rsidRDefault="00890B9D"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7559F7">
        <w:rPr>
          <w:rStyle w:val="normaltextrun"/>
          <w:rFonts w:ascii="Calibri" w:hAnsi="Calibri" w:cs="Calibri"/>
          <w:color w:val="000000"/>
          <w:sz w:val="22"/>
          <w:szCs w:val="22"/>
          <w:bdr w:val="none" w:sz="0" w:space="0" w:color="auto" w:frame="1"/>
        </w:rPr>
        <w:t>Frances Knight</w:t>
      </w:r>
    </w:p>
    <w:p w14:paraId="763950B7" w14:textId="07D5A0BC" w:rsidR="00C236CE" w:rsidRPr="008F5DC9" w:rsidRDefault="00C236CE" w:rsidP="00C236CE">
      <w:pPr>
        <w:tabs>
          <w:tab w:val="left" w:pos="426"/>
        </w:tabs>
        <w:spacing w:after="0"/>
        <w:ind w:left="142" w:hanging="142"/>
        <w:rPr>
          <w:rFonts w:cs="Arial"/>
          <w:sz w:val="22"/>
          <w:szCs w:val="22"/>
        </w:rPr>
      </w:pPr>
      <w:r w:rsidRPr="008F5DC9">
        <w:rPr>
          <w:rFonts w:cs="Arial"/>
          <w:sz w:val="22"/>
          <w:szCs w:val="22"/>
        </w:rPr>
        <w:t>Isabelle Fra</w:t>
      </w:r>
      <w:r w:rsidRPr="00305CC9">
        <w:rPr>
          <w:rFonts w:cs="Arial"/>
          <w:sz w:val="22"/>
          <w:szCs w:val="22"/>
        </w:rPr>
        <w:t>ncis</w:t>
      </w:r>
      <w:r w:rsidR="00630F09" w:rsidRPr="007559F7">
        <w:rPr>
          <w:rFonts w:cs="Arial"/>
          <w:sz w:val="22"/>
          <w:szCs w:val="22"/>
        </w:rPr>
        <w:t xml:space="preserve"> </w:t>
      </w:r>
    </w:p>
    <w:p w14:paraId="5E0C5512" w14:textId="6938DB25" w:rsidR="0064757D" w:rsidRDefault="0064757D" w:rsidP="00C236CE">
      <w:pPr>
        <w:tabs>
          <w:tab w:val="left" w:pos="426"/>
        </w:tabs>
        <w:spacing w:after="0"/>
        <w:rPr>
          <w:rFonts w:cs="Arial"/>
          <w:sz w:val="22"/>
          <w:szCs w:val="22"/>
        </w:rPr>
      </w:pPr>
      <w:r w:rsidRPr="00633D56">
        <w:rPr>
          <w:rFonts w:cs="Arial"/>
          <w:sz w:val="22"/>
          <w:szCs w:val="22"/>
        </w:rPr>
        <w:t>Ja</w:t>
      </w:r>
      <w:r w:rsidR="009D0A11">
        <w:rPr>
          <w:rFonts w:cs="Arial"/>
          <w:sz w:val="22"/>
          <w:szCs w:val="22"/>
        </w:rPr>
        <w:t>c</w:t>
      </w:r>
      <w:r w:rsidRPr="00633D56">
        <w:rPr>
          <w:rFonts w:cs="Arial"/>
          <w:sz w:val="22"/>
          <w:szCs w:val="22"/>
        </w:rPr>
        <w:t>queline Beerworth</w:t>
      </w:r>
    </w:p>
    <w:p w14:paraId="2BEE539A" w14:textId="77D1B55B" w:rsidR="00DD2F0B" w:rsidRPr="00633D56" w:rsidRDefault="00DD2F0B" w:rsidP="00DD2F0B">
      <w:pPr>
        <w:tabs>
          <w:tab w:val="left" w:pos="426"/>
        </w:tabs>
        <w:spacing w:after="0"/>
        <w:rPr>
          <w:rFonts w:cs="Arial"/>
          <w:sz w:val="22"/>
          <w:szCs w:val="22"/>
        </w:rPr>
      </w:pPr>
      <w:r w:rsidRPr="00633D56">
        <w:rPr>
          <w:rFonts w:cs="Arial"/>
          <w:sz w:val="22"/>
          <w:szCs w:val="22"/>
        </w:rPr>
        <w:t xml:space="preserve">James Rae </w:t>
      </w:r>
    </w:p>
    <w:p w14:paraId="4B13A126" w14:textId="77777777"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Jason Smith</w:t>
      </w:r>
    </w:p>
    <w:p w14:paraId="4B1A1575" w14:textId="528FF5B3"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Kelly-Anne Lawler</w:t>
      </w:r>
    </w:p>
    <w:p w14:paraId="42B5FD80" w14:textId="01193F2F" w:rsidR="00C236CE" w:rsidRPr="008F5DC9" w:rsidRDefault="00C236CE" w:rsidP="00C236CE">
      <w:pPr>
        <w:tabs>
          <w:tab w:val="left" w:pos="426"/>
        </w:tabs>
        <w:spacing w:after="0"/>
        <w:ind w:left="142" w:hanging="142"/>
        <w:rPr>
          <w:rFonts w:cs="Arial"/>
          <w:sz w:val="22"/>
          <w:szCs w:val="22"/>
        </w:rPr>
      </w:pPr>
      <w:r w:rsidRPr="007559F7">
        <w:rPr>
          <w:rFonts w:cs="Arial"/>
          <w:sz w:val="22"/>
          <w:szCs w:val="22"/>
        </w:rPr>
        <w:t>Kelly Strike</w:t>
      </w:r>
      <w:r w:rsidR="000C27A9" w:rsidRPr="007559F7">
        <w:rPr>
          <w:rFonts w:cs="Arial"/>
          <w:sz w:val="22"/>
          <w:szCs w:val="22"/>
        </w:rPr>
        <w:t xml:space="preserve"> </w:t>
      </w:r>
    </w:p>
    <w:p w14:paraId="5ACAE2BA" w14:textId="0374AC1D" w:rsidR="00C236CE" w:rsidRPr="00633D56" w:rsidRDefault="00C236CE" w:rsidP="00C236CE">
      <w:pPr>
        <w:tabs>
          <w:tab w:val="left" w:pos="426"/>
        </w:tabs>
        <w:spacing w:after="0"/>
        <w:ind w:left="142" w:right="-284" w:hanging="142"/>
        <w:rPr>
          <w:rFonts w:cs="Arial"/>
          <w:sz w:val="22"/>
          <w:szCs w:val="22"/>
        </w:rPr>
      </w:pPr>
      <w:r w:rsidRPr="00633D56">
        <w:rPr>
          <w:rFonts w:cs="Arial"/>
          <w:sz w:val="22"/>
          <w:szCs w:val="22"/>
        </w:rPr>
        <w:t xml:space="preserve">Mehdi Shabaninejad </w:t>
      </w:r>
    </w:p>
    <w:p w14:paraId="06BBA4BA" w14:textId="7BBC9E74" w:rsidR="00630E52" w:rsidRDefault="00C236CE" w:rsidP="00C02D21">
      <w:pPr>
        <w:tabs>
          <w:tab w:val="left" w:pos="426"/>
        </w:tabs>
        <w:spacing w:after="0"/>
        <w:ind w:left="142" w:hanging="142"/>
        <w:rPr>
          <w:rFonts w:cs="Arial"/>
          <w:sz w:val="22"/>
          <w:szCs w:val="22"/>
        </w:rPr>
      </w:pPr>
      <w:r w:rsidRPr="00633D56">
        <w:rPr>
          <w:rFonts w:cs="Arial"/>
          <w:sz w:val="22"/>
          <w:szCs w:val="22"/>
        </w:rPr>
        <w:t>Mio Kuhnen</w:t>
      </w:r>
      <w:r w:rsidR="00F26677" w:rsidRPr="00633D56">
        <w:rPr>
          <w:rFonts w:cs="Arial"/>
          <w:sz w:val="22"/>
          <w:szCs w:val="22"/>
        </w:rPr>
        <w:t xml:space="preserve"> </w:t>
      </w:r>
    </w:p>
    <w:p w14:paraId="42A04122" w14:textId="336C0955" w:rsidR="00720AD3" w:rsidRDefault="00720AD3" w:rsidP="00C02D21">
      <w:pPr>
        <w:tabs>
          <w:tab w:val="left" w:pos="426"/>
        </w:tabs>
        <w:spacing w:after="0"/>
        <w:ind w:left="142" w:hanging="142"/>
        <w:rPr>
          <w:rFonts w:cs="Arial"/>
          <w:sz w:val="22"/>
          <w:szCs w:val="22"/>
        </w:rPr>
      </w:pPr>
      <w:r>
        <w:rPr>
          <w:rFonts w:cs="Arial"/>
          <w:sz w:val="22"/>
          <w:szCs w:val="22"/>
        </w:rPr>
        <w:t>Praveen Sebastian</w:t>
      </w:r>
    </w:p>
    <w:p w14:paraId="60DADCEE" w14:textId="77777777" w:rsidR="00DB00C6" w:rsidRDefault="00DB00C6" w:rsidP="00630E52">
      <w:pPr>
        <w:tabs>
          <w:tab w:val="left" w:pos="426"/>
        </w:tabs>
        <w:spacing w:after="0"/>
        <w:rPr>
          <w:rFonts w:cs="Arial"/>
          <w:sz w:val="22"/>
          <w:szCs w:val="22"/>
        </w:rPr>
        <w:sectPr w:rsidR="00DB00C6" w:rsidSect="004F3B22">
          <w:type w:val="continuous"/>
          <w:pgSz w:w="11906" w:h="16838"/>
          <w:pgMar w:top="663" w:right="1134" w:bottom="709" w:left="1276" w:header="425" w:footer="828" w:gutter="0"/>
          <w:pgNumType w:start="1"/>
          <w:cols w:space="709"/>
          <w:titlePg/>
          <w:docGrid w:linePitch="360"/>
        </w:sectPr>
      </w:pPr>
    </w:p>
    <w:p w14:paraId="441B3878" w14:textId="2E67E8FF" w:rsidR="00815810" w:rsidRDefault="00A44315" w:rsidP="00F11013">
      <w:pPr>
        <w:pStyle w:val="paragraph"/>
        <w:spacing w:before="120" w:beforeAutospacing="0" w:after="0" w:afterAutospacing="0"/>
        <w:textAlignment w:val="baseline"/>
        <w:rPr>
          <w:rStyle w:val="normaltextrun"/>
          <w:rFonts w:ascii="Calibri" w:eastAsiaTheme="minorEastAsia" w:hAnsi="Calibri" w:cs="Calibri"/>
          <w:sz w:val="22"/>
          <w:szCs w:val="22"/>
          <w:u w:val="single"/>
        </w:rPr>
      </w:pPr>
      <w:r>
        <w:rPr>
          <w:rStyle w:val="normaltextrun"/>
          <w:rFonts w:ascii="Calibri" w:eastAsiaTheme="minorEastAsia" w:hAnsi="Calibri" w:cs="Calibri"/>
          <w:sz w:val="22"/>
          <w:szCs w:val="22"/>
          <w:u w:val="single"/>
        </w:rPr>
        <w:t xml:space="preserve">Note: </w:t>
      </w:r>
      <w:r w:rsidR="00DB5BCF">
        <w:rPr>
          <w:rStyle w:val="normaltextrun"/>
          <w:rFonts w:ascii="Calibri" w:eastAsiaTheme="minorEastAsia" w:hAnsi="Calibri" w:cs="Calibri"/>
          <w:sz w:val="22"/>
          <w:szCs w:val="22"/>
          <w:u w:val="single"/>
        </w:rPr>
        <w:t xml:space="preserve">OWS attendees </w:t>
      </w:r>
      <w:r w:rsidR="00015994">
        <w:rPr>
          <w:rStyle w:val="normaltextrun"/>
          <w:rFonts w:ascii="Calibri" w:eastAsiaTheme="minorEastAsia" w:hAnsi="Calibri" w:cs="Calibri"/>
          <w:sz w:val="22"/>
          <w:szCs w:val="22"/>
          <w:u w:val="single"/>
        </w:rPr>
        <w:t>listed above include those with full or partial attendance at Meeting 83.</w:t>
      </w:r>
    </w:p>
    <w:p w14:paraId="63625195" w14:textId="77777777" w:rsidR="00FD5788" w:rsidRPr="007C08F3" w:rsidRDefault="00FD5788" w:rsidP="00F11013">
      <w:pPr>
        <w:pStyle w:val="paragraph"/>
        <w:spacing w:before="120" w:beforeAutospacing="0" w:after="0" w:afterAutospacing="0"/>
        <w:textAlignment w:val="baseline"/>
        <w:rPr>
          <w:rStyle w:val="normaltextrun"/>
          <w:rFonts w:ascii="Calibri" w:eastAsiaTheme="minorEastAsia" w:hAnsi="Calibri" w:cs="Calibri"/>
          <w:sz w:val="22"/>
          <w:szCs w:val="22"/>
          <w:u w:val="single"/>
        </w:rPr>
      </w:pPr>
    </w:p>
    <w:p w14:paraId="54F9ACC6" w14:textId="61485109" w:rsidR="00A431C1" w:rsidRPr="0094790E" w:rsidRDefault="00A431C1" w:rsidP="008D37F1">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8D37F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8D37F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101B108A" w:rsidR="003327D3" w:rsidRDefault="003327D3" w:rsidP="008D37F1">
      <w:pPr>
        <w:autoSpaceDE w:val="0"/>
        <w:autoSpaceDN w:val="0"/>
        <w:adjustRightInd w:val="0"/>
        <w:spacing w:before="120" w:after="120"/>
        <w:rPr>
          <w:rFonts w:cs="Arial"/>
          <w:sz w:val="22"/>
          <w:szCs w:val="22"/>
        </w:rPr>
      </w:pPr>
      <w:r w:rsidRPr="00532400">
        <w:rPr>
          <w:sz w:val="22"/>
          <w:szCs w:val="22"/>
        </w:rPr>
        <w:t xml:space="preserve">Committee members </w:t>
      </w:r>
      <w:r w:rsidR="00532400" w:rsidRPr="00532400">
        <w:rPr>
          <w:sz w:val="22"/>
          <w:szCs w:val="22"/>
        </w:rPr>
        <w:t xml:space="preserve">were invited to make disclosures. Committee members also </w:t>
      </w:r>
      <w:r w:rsidRPr="00532400">
        <w:rPr>
          <w:sz w:val="22"/>
          <w:szCs w:val="22"/>
        </w:rPr>
        <w:t>completed a Meeting Declaration of Interests</w:t>
      </w:r>
      <w:r w:rsidR="00532400" w:rsidRPr="00532400">
        <w:rPr>
          <w:sz w:val="22"/>
          <w:szCs w:val="22"/>
        </w:rPr>
        <w:t xml:space="preserve"> before the meeting commenced. Details on disclosures of interests are at Attachment A</w:t>
      </w:r>
      <w:r w:rsidRPr="00F07190">
        <w:rPr>
          <w:rFonts w:cs="Arial"/>
          <w:sz w:val="22"/>
          <w:szCs w:val="22"/>
        </w:rPr>
        <w:t>.</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0241BE7A"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w:t>
      </w:r>
      <w:r w:rsidR="009D7A59">
        <w:rPr>
          <w:rFonts w:cs="Arial"/>
          <w:sz w:val="22"/>
          <w:szCs w:val="22"/>
        </w:rPr>
        <w:t>3</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525C2B" w:rsidRDefault="002D351A" w:rsidP="008D37F1">
      <w:pPr>
        <w:tabs>
          <w:tab w:val="left" w:pos="426"/>
        </w:tabs>
        <w:spacing w:before="120" w:after="120"/>
        <w:rPr>
          <w:rFonts w:cs="Arial"/>
          <w:sz w:val="22"/>
          <w:szCs w:val="22"/>
          <w:u w:val="single"/>
        </w:rPr>
      </w:pPr>
      <w:r w:rsidRPr="00525C2B">
        <w:rPr>
          <w:rFonts w:ascii="Calibri" w:hAnsi="Calibri" w:cs="Arial"/>
          <w:sz w:val="22"/>
          <w:szCs w:val="22"/>
        </w:rPr>
        <w:t>The Committee noted that:</w:t>
      </w:r>
    </w:p>
    <w:p w14:paraId="75B0C736" w14:textId="3931FCF0" w:rsidR="002D351A" w:rsidRPr="00525C2B" w:rsidRDefault="002D351A" w:rsidP="008D37F1">
      <w:pPr>
        <w:pStyle w:val="ListParagraph"/>
        <w:numPr>
          <w:ilvl w:val="0"/>
          <w:numId w:val="4"/>
        </w:numPr>
        <w:spacing w:before="120" w:after="120"/>
        <w:ind w:left="714" w:hanging="357"/>
        <w:rPr>
          <w:sz w:val="22"/>
          <w:szCs w:val="22"/>
        </w:rPr>
      </w:pPr>
      <w:r w:rsidRPr="00525C2B">
        <w:rPr>
          <w:sz w:val="22"/>
          <w:szCs w:val="22"/>
        </w:rPr>
        <w:t>minutes of the Committee’s eight</w:t>
      </w:r>
      <w:r w:rsidR="003727D7" w:rsidRPr="00525C2B">
        <w:rPr>
          <w:sz w:val="22"/>
          <w:szCs w:val="22"/>
        </w:rPr>
        <w:t>y-</w:t>
      </w:r>
      <w:r w:rsidR="009D7A59" w:rsidRPr="00525C2B">
        <w:rPr>
          <w:sz w:val="22"/>
          <w:szCs w:val="22"/>
        </w:rPr>
        <w:t>second</w:t>
      </w:r>
      <w:r w:rsidRPr="00525C2B">
        <w:rPr>
          <w:sz w:val="22"/>
          <w:szCs w:val="22"/>
        </w:rPr>
        <w:t xml:space="preserve"> meeting on </w:t>
      </w:r>
      <w:r w:rsidR="003727D7" w:rsidRPr="00525C2B">
        <w:rPr>
          <w:sz w:val="22"/>
          <w:szCs w:val="22"/>
        </w:rPr>
        <w:t>1</w:t>
      </w:r>
      <w:r w:rsidR="009D7A59" w:rsidRPr="00525C2B">
        <w:rPr>
          <w:sz w:val="22"/>
          <w:szCs w:val="22"/>
        </w:rPr>
        <w:t>5 December</w:t>
      </w:r>
      <w:r w:rsidRPr="00525C2B">
        <w:rPr>
          <w:sz w:val="22"/>
          <w:szCs w:val="22"/>
        </w:rPr>
        <w:t xml:space="preserve"> 2021 were agreed out-of-session</w:t>
      </w:r>
      <w:r w:rsidR="00C81E70" w:rsidRPr="00525C2B">
        <w:rPr>
          <w:sz w:val="22"/>
          <w:szCs w:val="22"/>
        </w:rPr>
        <w:t xml:space="preserve"> and published</w:t>
      </w:r>
      <w:r w:rsidRPr="00525C2B">
        <w:rPr>
          <w:sz w:val="22"/>
          <w:szCs w:val="22"/>
        </w:rPr>
        <w:t>.</w:t>
      </w:r>
    </w:p>
    <w:p w14:paraId="61FC8008" w14:textId="783199B7"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1.5</w:t>
      </w:r>
      <w:r w:rsidRPr="000F70ED">
        <w:rPr>
          <w:rFonts w:cs="Arial"/>
          <w:sz w:val="22"/>
          <w:szCs w:val="22"/>
        </w:rPr>
        <w:tab/>
      </w:r>
      <w:r w:rsidRPr="000F70ED">
        <w:rPr>
          <w:rFonts w:cs="Arial"/>
          <w:sz w:val="22"/>
          <w:szCs w:val="22"/>
          <w:u w:val="single"/>
        </w:rPr>
        <w:t>Correspondence</w:t>
      </w:r>
    </w:p>
    <w:p w14:paraId="21E2F34C" w14:textId="669463E9" w:rsidR="002110E5" w:rsidRPr="000F70ED" w:rsidRDefault="002110E5" w:rsidP="008D37F1">
      <w:pPr>
        <w:spacing w:before="120" w:after="120"/>
        <w:ind w:left="369" w:hanging="369"/>
        <w:rPr>
          <w:rFonts w:cs="Arial"/>
          <w:sz w:val="22"/>
          <w:szCs w:val="22"/>
        </w:rPr>
      </w:pPr>
      <w:r w:rsidRPr="000F70ED">
        <w:rPr>
          <w:rFonts w:cs="Arial"/>
          <w:sz w:val="22"/>
          <w:szCs w:val="22"/>
        </w:rPr>
        <w:t xml:space="preserve">The Committee noted the status of correspondence to </w:t>
      </w:r>
      <w:r w:rsidR="004F4ADA" w:rsidRPr="000F70ED">
        <w:rPr>
          <w:rFonts w:cs="Arial"/>
          <w:sz w:val="22"/>
          <w:szCs w:val="22"/>
        </w:rPr>
        <w:t>17 January 2022</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6ADFE0B6" w14:textId="66EC3AE6" w:rsidR="00C371B0" w:rsidRPr="000F70ED" w:rsidRDefault="00C371B0" w:rsidP="008D37F1">
      <w:pPr>
        <w:tabs>
          <w:tab w:val="left" w:pos="426"/>
        </w:tabs>
        <w:spacing w:before="120" w:after="120"/>
        <w:rPr>
          <w:rFonts w:cs="Arial"/>
          <w:sz w:val="22"/>
          <w:szCs w:val="22"/>
        </w:rPr>
      </w:pPr>
      <w:r w:rsidRPr="000F70ED">
        <w:rPr>
          <w:rFonts w:cs="Arial"/>
          <w:sz w:val="22"/>
          <w:szCs w:val="22"/>
        </w:rPr>
        <w:t xml:space="preserve">Ongoing items were </w:t>
      </w:r>
      <w:proofErr w:type="gramStart"/>
      <w:r w:rsidRPr="000F70ED">
        <w:rPr>
          <w:rFonts w:cs="Arial"/>
          <w:sz w:val="22"/>
          <w:szCs w:val="22"/>
        </w:rPr>
        <w:t>noted</w:t>
      </w:r>
      <w:proofErr w:type="gramEnd"/>
      <w:r w:rsidRPr="000F70ED">
        <w:rPr>
          <w:rFonts w:cs="Arial"/>
          <w:sz w:val="22"/>
          <w:szCs w:val="22"/>
        </w:rPr>
        <w:t xml:space="preserve">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6166B80E"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148548E5" w:rsidR="00B110AC" w:rsidRPr="0094790E" w:rsidRDefault="00B110AC" w:rsidP="008D37F1">
      <w:pPr>
        <w:tabs>
          <w:tab w:val="left" w:pos="426"/>
        </w:tabs>
        <w:spacing w:before="120" w:after="120"/>
        <w:rPr>
          <w:rFonts w:cs="Arial"/>
          <w:sz w:val="22"/>
          <w:szCs w:val="22"/>
        </w:rPr>
      </w:pPr>
      <w:r w:rsidRPr="000F70ED">
        <w:rPr>
          <w:rFonts w:cs="Arial"/>
          <w:sz w:val="22"/>
          <w:szCs w:val="22"/>
        </w:rPr>
        <w:t>It was agreed that the next meeting be scheduled as a videoconference</w:t>
      </w:r>
      <w:r w:rsidR="00E62333" w:rsidRPr="000F70ED">
        <w:rPr>
          <w:rFonts w:cs="Arial"/>
          <w:sz w:val="22"/>
          <w:szCs w:val="22"/>
        </w:rPr>
        <w:t xml:space="preserve"> for 9</w:t>
      </w:r>
      <w:r w:rsidR="00BA2E4E" w:rsidRPr="000F70ED">
        <w:rPr>
          <w:rFonts w:cs="Arial"/>
          <w:sz w:val="22"/>
          <w:szCs w:val="22"/>
        </w:rPr>
        <w:t xml:space="preserve"> </w:t>
      </w:r>
      <w:r w:rsidR="009D7A59" w:rsidRPr="000F70ED">
        <w:rPr>
          <w:rFonts w:cs="Arial"/>
          <w:sz w:val="22"/>
          <w:szCs w:val="22"/>
        </w:rPr>
        <w:t>March</w:t>
      </w:r>
      <w:r w:rsidR="00BA2E4E" w:rsidRPr="000F70ED">
        <w:rPr>
          <w:rFonts w:cs="Arial"/>
          <w:sz w:val="22"/>
          <w:szCs w:val="22"/>
        </w:rPr>
        <w:t xml:space="preserve"> </w:t>
      </w:r>
      <w:r w:rsidR="003727D7" w:rsidRPr="000F70ED">
        <w:rPr>
          <w:rFonts w:cs="Arial"/>
          <w:sz w:val="22"/>
          <w:szCs w:val="22"/>
        </w:rPr>
        <w:t>2022</w:t>
      </w:r>
      <w:r w:rsidRPr="000F70ED">
        <w:rPr>
          <w:rFonts w:cs="Arial"/>
          <w:sz w:val="22"/>
          <w:szCs w:val="22"/>
        </w:rPr>
        <w:t>.</w:t>
      </w:r>
      <w:r>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43733A08" w14:textId="77777777" w:rsidR="0087258E" w:rsidRDefault="0087258E" w:rsidP="008D37F1">
      <w:pPr>
        <w:spacing w:before="120" w:after="120"/>
        <w:rPr>
          <w:rFonts w:cs="Arial"/>
          <w:b/>
          <w:sz w:val="22"/>
          <w:szCs w:val="22"/>
        </w:rPr>
      </w:pPr>
      <w:r>
        <w:rPr>
          <w:rFonts w:cs="Arial"/>
          <w:b/>
          <w:sz w:val="22"/>
          <w:szCs w:val="22"/>
        </w:rPr>
        <w:br w:type="page"/>
      </w:r>
    </w:p>
    <w:p w14:paraId="231FF8B3" w14:textId="73349634" w:rsidR="00961386" w:rsidRDefault="00961386" w:rsidP="008D37F1">
      <w:pPr>
        <w:spacing w:before="120" w:after="120"/>
        <w:rPr>
          <w:b/>
          <w:bCs/>
          <w:sz w:val="22"/>
          <w:szCs w:val="22"/>
        </w:rPr>
      </w:pPr>
      <w:r w:rsidRPr="000F70ED">
        <w:rPr>
          <w:rFonts w:cs="Arial"/>
          <w:b/>
          <w:sz w:val="22"/>
          <w:szCs w:val="22"/>
        </w:rPr>
        <w:lastRenderedPageBreak/>
        <w:t>2</w:t>
      </w:r>
      <w:r w:rsidRPr="000F70ED">
        <w:rPr>
          <w:rFonts w:cs="Arial"/>
          <w:b/>
          <w:bCs/>
          <w:sz w:val="22"/>
          <w:szCs w:val="22"/>
        </w:rPr>
        <w:t xml:space="preserve">. </w:t>
      </w:r>
      <w:r w:rsidRPr="000F70ED">
        <w:rPr>
          <w:b/>
          <w:bCs/>
          <w:sz w:val="22"/>
          <w:szCs w:val="22"/>
        </w:rPr>
        <w:t xml:space="preserve">Advice on Projects </w:t>
      </w:r>
      <w:bookmarkStart w:id="0" w:name="_Hlk69727335"/>
      <w:r w:rsidRPr="000F70ED">
        <w:rPr>
          <w:b/>
          <w:bCs/>
          <w:sz w:val="22"/>
          <w:szCs w:val="22"/>
        </w:rPr>
        <w:t>referred by governments</w:t>
      </w:r>
      <w:bookmarkEnd w:id="0"/>
    </w:p>
    <w:p w14:paraId="22B5EF0E" w14:textId="24D9423E" w:rsidR="00DD2F0B" w:rsidRDefault="00DD2F0B" w:rsidP="008D37F1">
      <w:pPr>
        <w:tabs>
          <w:tab w:val="left" w:pos="426"/>
        </w:tabs>
        <w:spacing w:before="120" w:after="120"/>
        <w:rPr>
          <w:rFonts w:cs="Arial"/>
          <w:sz w:val="22"/>
          <w:szCs w:val="22"/>
        </w:rPr>
      </w:pPr>
      <w:r w:rsidRPr="000F70ED">
        <w:rPr>
          <w:rFonts w:cs="Arial"/>
          <w:sz w:val="22"/>
          <w:szCs w:val="22"/>
        </w:rPr>
        <w:t>2.1</w:t>
      </w:r>
      <w:r w:rsidRPr="000F70ED">
        <w:rPr>
          <w:rFonts w:cs="Arial"/>
          <w:sz w:val="22"/>
          <w:szCs w:val="22"/>
        </w:rPr>
        <w:tab/>
      </w:r>
      <w:r w:rsidRPr="000F70ED">
        <w:rPr>
          <w:rFonts w:cs="Arial"/>
          <w:sz w:val="22"/>
          <w:szCs w:val="22"/>
          <w:u w:val="single"/>
        </w:rPr>
        <w:t>Gas Supply Security Project</w:t>
      </w:r>
    </w:p>
    <w:p w14:paraId="3DCF1380" w14:textId="39E21AFC" w:rsidR="00C31143" w:rsidRDefault="00C31143" w:rsidP="008D37F1">
      <w:pPr>
        <w:tabs>
          <w:tab w:val="left" w:pos="426"/>
        </w:tabs>
        <w:spacing w:before="120" w:after="120"/>
        <w:rPr>
          <w:rFonts w:cs="Arial"/>
          <w:sz w:val="22"/>
          <w:szCs w:val="22"/>
        </w:rPr>
      </w:pPr>
      <w:r>
        <w:rPr>
          <w:rFonts w:cs="Arial"/>
          <w:sz w:val="22"/>
          <w:szCs w:val="22"/>
        </w:rPr>
        <w:t xml:space="preserve">The Gas Supply Security Project is a proposed extension of the existing Australian Pacific LNG (i.e., Origin Energy) coal seam gas (CSG) developments (EPBC 2009/4794). The project area is located within the Surat and Bowen basins in central and southern Queensland and covers approximately 476,492 ha adjacent to the existing developments. There are five development areas, referred to as Mahalo, Denison, </w:t>
      </w:r>
      <w:r w:rsidR="00760ABC">
        <w:rPr>
          <w:rFonts w:cs="Arial"/>
          <w:sz w:val="22"/>
          <w:szCs w:val="22"/>
        </w:rPr>
        <w:t>Spring </w:t>
      </w:r>
      <w:r>
        <w:rPr>
          <w:rFonts w:cs="Arial"/>
          <w:sz w:val="22"/>
          <w:szCs w:val="22"/>
        </w:rPr>
        <w:t xml:space="preserve">Gully, </w:t>
      </w:r>
      <w:proofErr w:type="gramStart"/>
      <w:r>
        <w:rPr>
          <w:rFonts w:cs="Arial"/>
          <w:sz w:val="22"/>
          <w:szCs w:val="22"/>
        </w:rPr>
        <w:t>Peat</w:t>
      </w:r>
      <w:proofErr w:type="gramEnd"/>
      <w:r>
        <w:rPr>
          <w:rFonts w:cs="Arial"/>
          <w:sz w:val="22"/>
          <w:szCs w:val="22"/>
        </w:rPr>
        <w:t xml:space="preserve"> and Ironbark.</w:t>
      </w:r>
    </w:p>
    <w:p w14:paraId="46A1C823" w14:textId="41FBA360" w:rsidR="00C31143" w:rsidRPr="00FE2A2A" w:rsidRDefault="00C31143" w:rsidP="008D37F1">
      <w:pPr>
        <w:tabs>
          <w:tab w:val="left" w:pos="426"/>
        </w:tabs>
        <w:spacing w:before="120" w:after="120"/>
        <w:rPr>
          <w:rFonts w:cs="Arial"/>
          <w:sz w:val="22"/>
          <w:szCs w:val="22"/>
        </w:rPr>
      </w:pPr>
      <w:r>
        <w:rPr>
          <w:rFonts w:cs="Arial"/>
          <w:sz w:val="22"/>
          <w:szCs w:val="22"/>
        </w:rPr>
        <w:t xml:space="preserve">The project will involve the construction, operation, decommissioning and rehabilitation of up to 7,700 CSG wells and associated infrastructure, including 6,800 km of gas and water pipelines, 16 combined gas processing and water management facilities and supporting infrastructure (accommodation, access tracks, maintenance facilities, laydown areas and utilities). Gas production will target the Walloon Coal Measures, Bandanna Formation (including the Baralaba Coal Measures), and </w:t>
      </w:r>
      <w:proofErr w:type="spellStart"/>
      <w:r>
        <w:rPr>
          <w:rFonts w:cs="Arial"/>
          <w:sz w:val="22"/>
          <w:szCs w:val="22"/>
        </w:rPr>
        <w:t>Reids</w:t>
      </w:r>
      <w:proofErr w:type="spellEnd"/>
      <w:r>
        <w:rPr>
          <w:rFonts w:cs="Arial"/>
          <w:sz w:val="22"/>
          <w:szCs w:val="22"/>
        </w:rPr>
        <w:t xml:space="preserve"> Dome Beds. Locations for site infrastructure, including for CSG wells, gas pipelines, water infrastructure (e.g., storages) and access tracks are not provided in the documentation supplied to the IESC, hindering the Committee’s assessment of potential site-specific </w:t>
      </w:r>
      <w:r w:rsidRPr="00FE2A2A">
        <w:rPr>
          <w:rFonts w:cs="Arial"/>
          <w:sz w:val="22"/>
          <w:szCs w:val="22"/>
        </w:rPr>
        <w:t>impacts of the project on water resources.</w:t>
      </w:r>
    </w:p>
    <w:p w14:paraId="1A67C52C" w14:textId="1B797400" w:rsidR="00FE2A2A" w:rsidRPr="00FE2A2A" w:rsidRDefault="00FE2A2A" w:rsidP="008D37F1">
      <w:pPr>
        <w:spacing w:before="120" w:after="120"/>
        <w:rPr>
          <w:rFonts w:eastAsia="Arial"/>
          <w:sz w:val="22"/>
          <w:szCs w:val="22"/>
        </w:rPr>
      </w:pPr>
      <w:r w:rsidRPr="00FE2A2A">
        <w:rPr>
          <w:sz w:val="22"/>
          <w:szCs w:val="22"/>
        </w:rPr>
        <w:t xml:space="preserve">Construction for the project is expected to begin in 2024 with operations to begin in 2025 and continue until approximately 2061, although the proponent also gives an end date of 2075. The draft public environment report (PER) for the project presents a ‘maximum development scenario’ assuming that there will be commercial quantities of recoverable gas across the whole project area. The proponent </w:t>
      </w:r>
      <w:r w:rsidRPr="00FE2A2A">
        <w:rPr>
          <w:rFonts w:eastAsia="Arial"/>
          <w:sz w:val="22"/>
          <w:szCs w:val="22"/>
        </w:rPr>
        <w:t>claims that</w:t>
      </w:r>
      <w:r w:rsidRPr="00FE2A2A">
        <w:rPr>
          <w:sz w:val="22"/>
          <w:szCs w:val="22"/>
        </w:rPr>
        <w:t xml:space="preserve"> the final size of the project will be smaller. </w:t>
      </w:r>
      <w:r w:rsidRPr="00FE2A2A">
        <w:rPr>
          <w:rFonts w:eastAsia="Arial"/>
          <w:sz w:val="22"/>
          <w:szCs w:val="22"/>
        </w:rPr>
        <w:t xml:space="preserve">Regardless, the IESC notes the size of the project and its potential to significantly contribute to regional environmental impacts via the addition of 7,700 wells to the </w:t>
      </w:r>
      <w:proofErr w:type="gramStart"/>
      <w:r w:rsidRPr="00FE2A2A">
        <w:rPr>
          <w:rFonts w:eastAsia="Arial"/>
          <w:sz w:val="22"/>
          <w:szCs w:val="22"/>
        </w:rPr>
        <w:t>8,600  wells</w:t>
      </w:r>
      <w:proofErr w:type="gramEnd"/>
      <w:r w:rsidRPr="00FE2A2A">
        <w:rPr>
          <w:rFonts w:eastAsia="Arial"/>
          <w:sz w:val="22"/>
          <w:szCs w:val="22"/>
        </w:rPr>
        <w:t xml:space="preserve"> currently located across the Surat Cumulative Management Area (CMA).</w:t>
      </w:r>
    </w:p>
    <w:p w14:paraId="1A03E288" w14:textId="022913A6" w:rsidR="00FE2A2A" w:rsidRDefault="00FE2A2A" w:rsidP="008D37F1">
      <w:pPr>
        <w:spacing w:before="120" w:after="120"/>
        <w:rPr>
          <w:rFonts w:eastAsia="Arial"/>
          <w:sz w:val="22"/>
          <w:szCs w:val="22"/>
        </w:rPr>
      </w:pPr>
      <w:r w:rsidRPr="00FE2A2A">
        <w:rPr>
          <w:rFonts w:eastAsia="Arial"/>
          <w:sz w:val="22"/>
          <w:szCs w:val="22"/>
        </w:rPr>
        <w:t xml:space="preserve">The </w:t>
      </w:r>
      <w:r w:rsidRPr="00FE2A2A">
        <w:rPr>
          <w:rFonts w:eastAsia="Arial"/>
          <w:i/>
          <w:iCs/>
          <w:sz w:val="22"/>
          <w:szCs w:val="22"/>
        </w:rPr>
        <w:t>Environment Protection and Biodiversity Conservation Amendment Act 2013</w:t>
      </w:r>
      <w:r w:rsidRPr="00FE2A2A">
        <w:rPr>
          <w:rFonts w:eastAsia="Arial"/>
          <w:sz w:val="22"/>
          <w:szCs w:val="22"/>
        </w:rPr>
        <w:t xml:space="preserve"> identifies all water resources (as defined by the </w:t>
      </w:r>
      <w:r w:rsidRPr="00FE2A2A">
        <w:rPr>
          <w:rFonts w:eastAsia="Arial"/>
          <w:i/>
          <w:iCs/>
          <w:sz w:val="22"/>
          <w:szCs w:val="22"/>
        </w:rPr>
        <w:t>Water Act 2007</w:t>
      </w:r>
      <w:r w:rsidRPr="00FE2A2A">
        <w:rPr>
          <w:rFonts w:eastAsia="Arial"/>
          <w:sz w:val="22"/>
          <w:szCs w:val="22"/>
        </w:rPr>
        <w:t>, e.g., wetlands, rivers, groundwaters), as a Matter of National Environmental Significance (MNES) in relation to CSG and large coal mining developments. Under this ‘water trigger’ legislation, environmental impact assessments must assess the risks of all potential impacts to all water resources. Although the current assessment addresses the project’s risks to several</w:t>
      </w:r>
      <w:r w:rsidR="00B8612E">
        <w:rPr>
          <w:rFonts w:eastAsia="Arial"/>
          <w:sz w:val="22"/>
          <w:szCs w:val="22"/>
        </w:rPr>
        <w:t xml:space="preserve"> </w:t>
      </w:r>
      <w:bookmarkStart w:id="1" w:name="_Hlk95311686"/>
      <w:r w:rsidR="00B8612E">
        <w:rPr>
          <w:rFonts w:eastAsia="Arial"/>
          <w:sz w:val="22"/>
          <w:szCs w:val="22"/>
        </w:rPr>
        <w:t xml:space="preserve">springs listed in the </w:t>
      </w:r>
      <w:r w:rsidR="00B8612E" w:rsidRPr="00FD5788">
        <w:rPr>
          <w:rFonts w:eastAsia="Arial"/>
          <w:i/>
          <w:iCs/>
          <w:sz w:val="22"/>
          <w:szCs w:val="22"/>
        </w:rPr>
        <w:t>Environment Protection and Biodiversity Conservation Act 1999</w:t>
      </w:r>
      <w:r w:rsidRPr="00FE2A2A">
        <w:rPr>
          <w:rFonts w:eastAsia="Arial"/>
          <w:sz w:val="22"/>
          <w:szCs w:val="22"/>
        </w:rPr>
        <w:t xml:space="preserve"> </w:t>
      </w:r>
      <w:r w:rsidR="00B8612E">
        <w:rPr>
          <w:rFonts w:eastAsia="Arial"/>
          <w:sz w:val="22"/>
          <w:szCs w:val="22"/>
        </w:rPr>
        <w:t>(</w:t>
      </w:r>
      <w:bookmarkEnd w:id="1"/>
      <w:r w:rsidRPr="00FE2A2A">
        <w:rPr>
          <w:rFonts w:eastAsia="Arial"/>
          <w:sz w:val="22"/>
          <w:szCs w:val="22"/>
        </w:rPr>
        <w:t>EPBC Act</w:t>
      </w:r>
      <w:r w:rsidR="00B8612E">
        <w:rPr>
          <w:rFonts w:eastAsia="Arial"/>
          <w:sz w:val="22"/>
          <w:szCs w:val="22"/>
        </w:rPr>
        <w:t>)</w:t>
      </w:r>
      <w:r w:rsidRPr="00FE2A2A">
        <w:rPr>
          <w:rFonts w:eastAsia="Arial"/>
          <w:sz w:val="22"/>
          <w:szCs w:val="22"/>
        </w:rPr>
        <w:t>, it does not comprehensively assess the risk of potential impacts to other water resources such as ephemeral streams and groundwater-dependent vegetation at either local (development areas) or regional (Surat CMA) scales. Further, because of the substantial spatial and temporal extent of the project (7,700 wells over 4765 km</w:t>
      </w:r>
      <w:r w:rsidRPr="00FE2A2A">
        <w:rPr>
          <w:rFonts w:eastAsia="Arial"/>
          <w:sz w:val="22"/>
          <w:szCs w:val="22"/>
          <w:vertAlign w:val="superscript"/>
        </w:rPr>
        <w:t>2</w:t>
      </w:r>
      <w:r w:rsidRPr="00FE2A2A">
        <w:rPr>
          <w:rFonts w:eastAsia="Arial"/>
          <w:sz w:val="22"/>
          <w:szCs w:val="22"/>
        </w:rPr>
        <w:t xml:space="preserve"> for up to 50 years), there is a high risk of cumulative impacts exceeding threshold ecohydrological requirements (‘tipping points’) of one or more of these water resources protected under the ‘water trigger’, potentially causing irreversible environmental harm. </w:t>
      </w:r>
    </w:p>
    <w:p w14:paraId="38F03B87" w14:textId="4602EF0D" w:rsidR="00FE2A2A" w:rsidRDefault="00FE2A2A" w:rsidP="008D37F1">
      <w:pPr>
        <w:spacing w:before="120" w:after="120"/>
        <w:rPr>
          <w:rFonts w:eastAsia="Arial"/>
          <w:sz w:val="22"/>
          <w:szCs w:val="22"/>
        </w:rPr>
      </w:pPr>
      <w:r>
        <w:rPr>
          <w:rFonts w:eastAsia="Arial"/>
          <w:sz w:val="22"/>
          <w:szCs w:val="22"/>
          <w:u w:val="single"/>
        </w:rPr>
        <w:t>Key potential impacts</w:t>
      </w:r>
      <w:r>
        <w:rPr>
          <w:rFonts w:eastAsia="Arial"/>
          <w:sz w:val="22"/>
          <w:szCs w:val="22"/>
        </w:rPr>
        <w:t xml:space="preserve"> from this project are:</w:t>
      </w:r>
    </w:p>
    <w:p w14:paraId="205C198D" w14:textId="77777777" w:rsidR="00FE2A2A" w:rsidRPr="00FE2A2A" w:rsidRDefault="00FE2A2A" w:rsidP="008D37F1">
      <w:pPr>
        <w:pStyle w:val="ListBullet"/>
        <w:numPr>
          <w:ilvl w:val="0"/>
          <w:numId w:val="4"/>
        </w:numPr>
        <w:autoSpaceDE w:val="0"/>
        <w:autoSpaceDN w:val="0"/>
        <w:adjustRightInd w:val="0"/>
        <w:spacing w:before="120" w:after="120"/>
        <w:rPr>
          <w:rFonts w:eastAsia="Arial"/>
          <w:sz w:val="22"/>
          <w:szCs w:val="22"/>
        </w:rPr>
      </w:pPr>
      <w:r w:rsidRPr="00FE2A2A">
        <w:rPr>
          <w:sz w:val="22"/>
          <w:szCs w:val="22"/>
        </w:rPr>
        <w:t>extraction of 72.4 GL of groundwater over the life of the project, contributing to project-specific and cumulative drawdown impacts on eight known springs (including three EPBC Act-listed springs), 21 watercourse springs, terrestrial groundwater-dependent ecosystems (GDEs), 13 private bores, and possibly subterranean GDEs (</w:t>
      </w:r>
      <w:r w:rsidRPr="00FE2A2A">
        <w:rPr>
          <w:rFonts w:eastAsia="Arial"/>
          <w:sz w:val="22"/>
          <w:szCs w:val="22"/>
        </w:rPr>
        <w:t>including stygofauna</w:t>
      </w:r>
      <w:proofErr w:type="gramStart"/>
      <w:r w:rsidRPr="00FE2A2A">
        <w:rPr>
          <w:rFonts w:eastAsia="Arial"/>
          <w:sz w:val="22"/>
          <w:szCs w:val="22"/>
        </w:rPr>
        <w:t>)</w:t>
      </w:r>
      <w:r w:rsidRPr="00FE2A2A">
        <w:rPr>
          <w:sz w:val="22"/>
          <w:szCs w:val="22"/>
        </w:rPr>
        <w:t>;</w:t>
      </w:r>
      <w:proofErr w:type="gramEnd"/>
    </w:p>
    <w:p w14:paraId="084D0AF8" w14:textId="77777777" w:rsidR="00FE2A2A" w:rsidRPr="00FE2A2A" w:rsidRDefault="00FE2A2A" w:rsidP="008D37F1">
      <w:pPr>
        <w:pStyle w:val="ListBullet"/>
        <w:numPr>
          <w:ilvl w:val="0"/>
          <w:numId w:val="4"/>
        </w:numPr>
        <w:autoSpaceDE w:val="0"/>
        <w:autoSpaceDN w:val="0"/>
        <w:adjustRightInd w:val="0"/>
        <w:spacing w:before="120" w:after="120"/>
        <w:rPr>
          <w:rFonts w:eastAsia="Arial"/>
          <w:sz w:val="22"/>
          <w:szCs w:val="22"/>
        </w:rPr>
      </w:pPr>
      <w:r w:rsidRPr="00FE2A2A">
        <w:rPr>
          <w:sz w:val="22"/>
          <w:szCs w:val="22"/>
        </w:rPr>
        <w:t xml:space="preserve">local (development area-specific)- and regional-scale reductions in water availability to </w:t>
      </w:r>
      <w:r w:rsidRPr="00FE2A2A">
        <w:rPr>
          <w:rFonts w:eastAsia="Arial"/>
          <w:sz w:val="22"/>
          <w:szCs w:val="22"/>
        </w:rPr>
        <w:t xml:space="preserve">other water resources (e.g., ephemeral streams, riparian and floodplain ecosystems) as a result of groundwater drawdown, altered alluvial recharge and changes to surface runoff caused by infrastructure such as access </w:t>
      </w:r>
      <w:proofErr w:type="gramStart"/>
      <w:r w:rsidRPr="00FE2A2A">
        <w:rPr>
          <w:rFonts w:eastAsia="Arial"/>
          <w:sz w:val="22"/>
          <w:szCs w:val="22"/>
        </w:rPr>
        <w:t>tracks</w:t>
      </w:r>
      <w:r w:rsidRPr="00FE2A2A">
        <w:rPr>
          <w:sz w:val="22"/>
          <w:szCs w:val="22"/>
        </w:rPr>
        <w:t>;</w:t>
      </w:r>
      <w:proofErr w:type="gramEnd"/>
      <w:r w:rsidRPr="00FE2A2A">
        <w:rPr>
          <w:sz w:val="22"/>
          <w:szCs w:val="22"/>
        </w:rPr>
        <w:t xml:space="preserve"> </w:t>
      </w:r>
    </w:p>
    <w:p w14:paraId="0EAA9048" w14:textId="77777777" w:rsidR="00FE2A2A" w:rsidRPr="00FE2A2A" w:rsidRDefault="00FE2A2A" w:rsidP="008D37F1">
      <w:pPr>
        <w:pStyle w:val="ListBullet"/>
        <w:numPr>
          <w:ilvl w:val="0"/>
          <w:numId w:val="4"/>
        </w:numPr>
        <w:autoSpaceDE w:val="0"/>
        <w:autoSpaceDN w:val="0"/>
        <w:adjustRightInd w:val="0"/>
        <w:spacing w:before="120" w:after="120"/>
        <w:rPr>
          <w:sz w:val="22"/>
          <w:szCs w:val="22"/>
        </w:rPr>
      </w:pPr>
      <w:r w:rsidRPr="00FE2A2A">
        <w:rPr>
          <w:sz w:val="22"/>
          <w:szCs w:val="22"/>
        </w:rPr>
        <w:t>changes to surface water quality due to the intentional and unintentional releases of treated produced water and use of waste drilling fluids on-site, noting that the proponent has provided little information on these aspects; and</w:t>
      </w:r>
    </w:p>
    <w:p w14:paraId="406DD8DF" w14:textId="77777777" w:rsidR="00FE2A2A" w:rsidRPr="00FE2A2A" w:rsidRDefault="00FE2A2A" w:rsidP="008D37F1">
      <w:pPr>
        <w:pStyle w:val="ListBullet"/>
        <w:numPr>
          <w:ilvl w:val="0"/>
          <w:numId w:val="4"/>
        </w:numPr>
        <w:autoSpaceDE w:val="0"/>
        <w:autoSpaceDN w:val="0"/>
        <w:adjustRightInd w:val="0"/>
        <w:spacing w:before="120" w:after="120"/>
        <w:rPr>
          <w:sz w:val="22"/>
          <w:szCs w:val="22"/>
        </w:rPr>
      </w:pPr>
      <w:r w:rsidRPr="00FE2A2A">
        <w:rPr>
          <w:sz w:val="22"/>
          <w:szCs w:val="22"/>
        </w:rPr>
        <w:t>legacy issues of substantial volumes (up to 9,500 ML) of brine and other contaminated by-products of produced water.</w:t>
      </w:r>
    </w:p>
    <w:p w14:paraId="1EC492D3" w14:textId="77777777" w:rsidR="008D37F1" w:rsidRPr="008D37F1" w:rsidRDefault="008D37F1" w:rsidP="008D37F1">
      <w:pPr>
        <w:spacing w:before="120" w:after="120"/>
        <w:rPr>
          <w:rFonts w:ascii="Calibri" w:hAnsi="Calibri" w:cs="Calibri"/>
          <w:sz w:val="22"/>
          <w:szCs w:val="22"/>
        </w:rPr>
      </w:pPr>
      <w:r w:rsidRPr="008D37F1">
        <w:rPr>
          <w:rFonts w:ascii="Calibri" w:hAnsi="Calibri" w:cs="Calibri"/>
          <w:sz w:val="22"/>
          <w:szCs w:val="22"/>
        </w:rPr>
        <w:t xml:space="preserve">Consistent with the </w:t>
      </w:r>
      <w:r w:rsidRPr="008D37F1">
        <w:rPr>
          <w:rFonts w:ascii="Calibri" w:hAnsi="Calibri" w:cs="Calibri"/>
          <w:i/>
          <w:sz w:val="22"/>
          <w:szCs w:val="22"/>
        </w:rPr>
        <w:t>Environment Protection and Biodiversity Conservation Regulations 2000</w:t>
      </w:r>
      <w:r w:rsidRPr="008D37F1">
        <w:rPr>
          <w:rFonts w:ascii="Calibri" w:hAnsi="Calibri" w:cs="Calibri"/>
          <w:sz w:val="22"/>
          <w:szCs w:val="22"/>
        </w:rPr>
        <w:t>, advice will be published on the IESC’s website within 10 business days of being provided to the regulators.</w:t>
      </w:r>
    </w:p>
    <w:p w14:paraId="38A0BBBC" w14:textId="62016CAE" w:rsidR="00DD2F0B" w:rsidRDefault="00DD2F0B" w:rsidP="008D37F1">
      <w:pPr>
        <w:tabs>
          <w:tab w:val="left" w:pos="426"/>
        </w:tabs>
        <w:spacing w:before="120" w:after="120"/>
        <w:rPr>
          <w:rFonts w:cs="Arial"/>
          <w:sz w:val="22"/>
          <w:szCs w:val="22"/>
          <w:u w:val="single"/>
        </w:rPr>
      </w:pPr>
      <w:r w:rsidRPr="000F70ED">
        <w:rPr>
          <w:rFonts w:cs="Arial"/>
          <w:sz w:val="22"/>
          <w:szCs w:val="22"/>
        </w:rPr>
        <w:lastRenderedPageBreak/>
        <w:t>2.2</w:t>
      </w:r>
      <w:r w:rsidRPr="000F70ED">
        <w:rPr>
          <w:rFonts w:cs="Arial"/>
          <w:sz w:val="22"/>
          <w:szCs w:val="22"/>
        </w:rPr>
        <w:tab/>
      </w:r>
      <w:r w:rsidRPr="000F70ED">
        <w:rPr>
          <w:rFonts w:cs="Arial"/>
          <w:sz w:val="22"/>
          <w:szCs w:val="22"/>
          <w:u w:val="single"/>
        </w:rPr>
        <w:t>Towrie Gas Development</w:t>
      </w:r>
    </w:p>
    <w:p w14:paraId="5FB9E008" w14:textId="0660EBE0" w:rsidR="008A15E3" w:rsidRDefault="008A15E3" w:rsidP="008D37F1">
      <w:pPr>
        <w:spacing w:before="120" w:after="120"/>
        <w:rPr>
          <w:rFonts w:eastAsia="Arial"/>
          <w:sz w:val="22"/>
          <w:szCs w:val="22"/>
        </w:rPr>
      </w:pPr>
      <w:r w:rsidRPr="008A15E3">
        <w:rPr>
          <w:sz w:val="22"/>
          <w:szCs w:val="22"/>
        </w:rPr>
        <w:t xml:space="preserve">The </w:t>
      </w:r>
      <w:r>
        <w:rPr>
          <w:sz w:val="22"/>
          <w:szCs w:val="22"/>
        </w:rPr>
        <w:t>Towrie Gas Development is a ne</w:t>
      </w:r>
      <w:r w:rsidRPr="008A15E3">
        <w:rPr>
          <w:sz w:val="22"/>
          <w:szCs w:val="22"/>
        </w:rPr>
        <w:t xml:space="preserve">w 116-well development targeting coal seam gas (CSG) from the Bandanna Formation, which is overlain by the </w:t>
      </w:r>
      <w:proofErr w:type="spellStart"/>
      <w:r w:rsidRPr="008A15E3">
        <w:rPr>
          <w:sz w:val="22"/>
          <w:szCs w:val="22"/>
        </w:rPr>
        <w:t>Rewan</w:t>
      </w:r>
      <w:proofErr w:type="spellEnd"/>
      <w:r w:rsidRPr="008A15E3">
        <w:rPr>
          <w:sz w:val="22"/>
          <w:szCs w:val="22"/>
        </w:rPr>
        <w:t xml:space="preserve"> Group, a thick aquitard at the regional scale. Peak groundwater production is predicted to be </w:t>
      </w:r>
      <w:r w:rsidRPr="008A15E3">
        <w:rPr>
          <w:rFonts w:eastAsia="Arial"/>
          <w:sz w:val="22"/>
          <w:szCs w:val="22"/>
        </w:rPr>
        <w:t>~</w:t>
      </w:r>
      <w:r>
        <w:rPr>
          <w:rFonts w:eastAsia="Arial"/>
          <w:sz w:val="22"/>
          <w:szCs w:val="22"/>
        </w:rPr>
        <w:t xml:space="preserve">2.2 ML/day, with a total of </w:t>
      </w:r>
      <w:r w:rsidRPr="008A15E3">
        <w:rPr>
          <w:rFonts w:eastAsia="Arial"/>
          <w:sz w:val="22"/>
          <w:szCs w:val="22"/>
        </w:rPr>
        <w:t>~</w:t>
      </w:r>
      <w:r>
        <w:rPr>
          <w:rFonts w:eastAsia="Arial"/>
          <w:sz w:val="22"/>
          <w:szCs w:val="22"/>
        </w:rPr>
        <w:t>2.3 GL abstracted over the lifetime of the project. Hydraulic stimulation is expected to be used on a currently unknown number of wells.</w:t>
      </w:r>
    </w:p>
    <w:p w14:paraId="67C4E3AA" w14:textId="77777777" w:rsidR="008A15E3" w:rsidRDefault="008A15E3" w:rsidP="008D37F1">
      <w:pPr>
        <w:spacing w:before="120" w:after="120"/>
        <w:rPr>
          <w:rFonts w:eastAsia="Arial"/>
          <w:sz w:val="22"/>
          <w:szCs w:val="22"/>
        </w:rPr>
      </w:pPr>
      <w:r>
        <w:rPr>
          <w:rFonts w:eastAsia="Arial"/>
          <w:sz w:val="22"/>
          <w:szCs w:val="22"/>
        </w:rPr>
        <w:t xml:space="preserve">The project </w:t>
      </w:r>
      <w:proofErr w:type="gramStart"/>
      <w:r>
        <w:rPr>
          <w:rFonts w:eastAsia="Arial"/>
          <w:sz w:val="22"/>
          <w:szCs w:val="22"/>
        </w:rPr>
        <w:t>is located in</w:t>
      </w:r>
      <w:proofErr w:type="gramEnd"/>
      <w:r>
        <w:rPr>
          <w:rFonts w:eastAsia="Arial"/>
          <w:sz w:val="22"/>
          <w:szCs w:val="22"/>
        </w:rPr>
        <w:t xml:space="preserve"> the Arcadia Valley, Queensland, north of </w:t>
      </w:r>
      <w:proofErr w:type="spellStart"/>
      <w:r>
        <w:rPr>
          <w:rFonts w:eastAsia="Arial"/>
          <w:sz w:val="22"/>
          <w:szCs w:val="22"/>
        </w:rPr>
        <w:t>Injune</w:t>
      </w:r>
      <w:proofErr w:type="spellEnd"/>
      <w:r>
        <w:rPr>
          <w:rFonts w:eastAsia="Arial"/>
          <w:sz w:val="22"/>
          <w:szCs w:val="22"/>
        </w:rPr>
        <w:t xml:space="preserve"> and in the northern portion of the Surat Cumulative Management Area (CMA). It will share produced water treatment and storage facilities with the Arcadia Gas Project, 16 km to the southwest.</w:t>
      </w:r>
    </w:p>
    <w:p w14:paraId="47958331" w14:textId="77777777" w:rsidR="008A15E3" w:rsidRDefault="008A15E3" w:rsidP="008D37F1">
      <w:pPr>
        <w:spacing w:before="120" w:after="120"/>
        <w:rPr>
          <w:rFonts w:eastAsia="Arial"/>
          <w:sz w:val="22"/>
          <w:szCs w:val="22"/>
        </w:rPr>
      </w:pPr>
      <w:r>
        <w:rPr>
          <w:rFonts w:eastAsia="Arial"/>
          <w:sz w:val="22"/>
          <w:szCs w:val="22"/>
        </w:rPr>
        <w:t>The lower areas of the Arcadia Valley have been and continue to be used for agriculture, including cropping and cattle grazing. Many areas historically associated with agriculture are degraded; however, corridors of good-quality remnant vegetation and aquatic habitat persist. Higher elevations of the project area will not be cleared and will retain extensive patches of good-quality vegetation.</w:t>
      </w:r>
    </w:p>
    <w:p w14:paraId="24D92D29" w14:textId="6FB2F1E4" w:rsidR="00517865" w:rsidRDefault="008A15E3" w:rsidP="008D37F1">
      <w:pPr>
        <w:spacing w:before="120" w:after="120"/>
        <w:rPr>
          <w:rFonts w:eastAsia="Arial"/>
          <w:sz w:val="22"/>
          <w:szCs w:val="22"/>
        </w:rPr>
      </w:pPr>
      <w:r>
        <w:rPr>
          <w:rFonts w:eastAsia="Arial"/>
          <w:sz w:val="22"/>
          <w:szCs w:val="22"/>
        </w:rPr>
        <w:t>The project area and immediate vicinity support threatened ecological communities (TECs) including Brigalow (</w:t>
      </w:r>
      <w:r>
        <w:rPr>
          <w:rFonts w:eastAsia="Arial"/>
          <w:i/>
          <w:iCs/>
          <w:sz w:val="22"/>
          <w:szCs w:val="22"/>
        </w:rPr>
        <w:t xml:space="preserve">Acacia </w:t>
      </w:r>
      <w:proofErr w:type="spellStart"/>
      <w:r>
        <w:rPr>
          <w:rFonts w:eastAsia="Arial"/>
          <w:i/>
          <w:iCs/>
          <w:sz w:val="22"/>
          <w:szCs w:val="22"/>
        </w:rPr>
        <w:t>harpophylla</w:t>
      </w:r>
      <w:proofErr w:type="spellEnd"/>
      <w:r>
        <w:rPr>
          <w:rFonts w:eastAsia="Arial"/>
          <w:sz w:val="22"/>
          <w:szCs w:val="22"/>
        </w:rPr>
        <w:t xml:space="preserve"> dominated and co-dominated) and Poplar Box Grassy Woodland on Alluvial Plains.</w:t>
      </w:r>
      <w:r w:rsidR="008D10DA">
        <w:rPr>
          <w:rFonts w:eastAsia="Arial"/>
          <w:sz w:val="22"/>
          <w:szCs w:val="22"/>
        </w:rPr>
        <w:t xml:space="preserve"> These TECs may be groundwater-dependent and grow along wetlands and ephemeral watercourses in the project area. Low-potential terrestrial groundwater-dependent ecosystems (GDEs) have been mapped in the north-eastern portions of the project area, and moderate-potential terrestrial GDEs occur immediately to the west of the project area. It is also probable that subterranean GDEs exist in the project area, particularly in the alluvium. These potential GDEs have not been confirmed with field data. Groundwater impacts will be largely managed under the Coal Seam Gas - Joint </w:t>
      </w:r>
      <w:r w:rsidR="000B46AA">
        <w:rPr>
          <w:rFonts w:eastAsia="Arial"/>
          <w:sz w:val="22"/>
          <w:szCs w:val="22"/>
        </w:rPr>
        <w:t>I</w:t>
      </w:r>
      <w:r w:rsidR="008D10DA">
        <w:rPr>
          <w:rFonts w:eastAsia="Arial"/>
          <w:sz w:val="22"/>
          <w:szCs w:val="22"/>
        </w:rPr>
        <w:t xml:space="preserve">ndustry </w:t>
      </w:r>
      <w:r w:rsidR="000B46AA">
        <w:rPr>
          <w:rFonts w:eastAsia="Arial"/>
          <w:sz w:val="22"/>
          <w:szCs w:val="22"/>
        </w:rPr>
        <w:t>F</w:t>
      </w:r>
      <w:r w:rsidR="008D10DA">
        <w:rPr>
          <w:rFonts w:eastAsia="Arial"/>
          <w:sz w:val="22"/>
          <w:szCs w:val="22"/>
        </w:rPr>
        <w:t xml:space="preserve">ramework. Riparian vegetation is associated with wetlands and ephemeral creeks and may provide habitat for </w:t>
      </w:r>
      <w:proofErr w:type="gramStart"/>
      <w:r w:rsidR="008D10DA">
        <w:rPr>
          <w:rFonts w:eastAsia="Arial"/>
          <w:sz w:val="22"/>
          <w:szCs w:val="22"/>
        </w:rPr>
        <w:t>a number of</w:t>
      </w:r>
      <w:proofErr w:type="gramEnd"/>
      <w:r w:rsidR="008D10DA">
        <w:rPr>
          <w:rFonts w:eastAsia="Arial"/>
          <w:sz w:val="22"/>
          <w:szCs w:val="22"/>
        </w:rPr>
        <w:t xml:space="preserve"> species listed by the </w:t>
      </w:r>
      <w:r w:rsidR="00AA3C3C" w:rsidRPr="00B8612E">
        <w:rPr>
          <w:rFonts w:eastAsia="Arial"/>
          <w:sz w:val="22"/>
          <w:szCs w:val="22"/>
        </w:rPr>
        <w:t>EPBC Act</w:t>
      </w:r>
      <w:r w:rsidR="008D10DA">
        <w:rPr>
          <w:rFonts w:eastAsia="Arial"/>
          <w:sz w:val="22"/>
          <w:szCs w:val="22"/>
        </w:rPr>
        <w:t>. A constructed wetland in the northeast is used for agriculture but nonetheless provides good-quality aquatic habitat, including for the EPBC Act-listed glossy ibis (</w:t>
      </w:r>
      <w:proofErr w:type="spellStart"/>
      <w:r w:rsidR="008D10DA">
        <w:rPr>
          <w:rFonts w:eastAsia="Arial"/>
          <w:i/>
          <w:iCs/>
          <w:sz w:val="22"/>
          <w:szCs w:val="22"/>
        </w:rPr>
        <w:t>Plegadis</w:t>
      </w:r>
      <w:proofErr w:type="spellEnd"/>
      <w:r w:rsidR="008D10DA">
        <w:rPr>
          <w:rFonts w:eastAsia="Arial"/>
          <w:i/>
          <w:iCs/>
          <w:sz w:val="22"/>
          <w:szCs w:val="22"/>
        </w:rPr>
        <w:t xml:space="preserve"> </w:t>
      </w:r>
      <w:proofErr w:type="spellStart"/>
      <w:r w:rsidR="008D10DA">
        <w:rPr>
          <w:rFonts w:eastAsia="Arial"/>
          <w:i/>
          <w:iCs/>
          <w:sz w:val="22"/>
          <w:szCs w:val="22"/>
        </w:rPr>
        <w:t>falcinellus</w:t>
      </w:r>
      <w:proofErr w:type="spellEnd"/>
      <w:r w:rsidR="008D10DA">
        <w:rPr>
          <w:rFonts w:eastAsia="Arial"/>
          <w:sz w:val="22"/>
          <w:szCs w:val="22"/>
        </w:rPr>
        <w:t>) and potentially Australian painted snipe (</w:t>
      </w:r>
      <w:proofErr w:type="spellStart"/>
      <w:r w:rsidR="008D10DA">
        <w:rPr>
          <w:rFonts w:eastAsia="Arial"/>
          <w:i/>
          <w:iCs/>
          <w:sz w:val="22"/>
          <w:szCs w:val="22"/>
        </w:rPr>
        <w:t>Rostratula</w:t>
      </w:r>
      <w:proofErr w:type="spellEnd"/>
      <w:r w:rsidR="008D10DA">
        <w:rPr>
          <w:rFonts w:eastAsia="Arial"/>
          <w:i/>
          <w:iCs/>
          <w:sz w:val="22"/>
          <w:szCs w:val="22"/>
        </w:rPr>
        <w:t xml:space="preserve"> australis</w:t>
      </w:r>
      <w:r w:rsidR="008D10DA">
        <w:rPr>
          <w:rFonts w:eastAsia="Arial"/>
          <w:sz w:val="22"/>
          <w:szCs w:val="22"/>
        </w:rPr>
        <w:t>) and Latham’s snipe (</w:t>
      </w:r>
      <w:proofErr w:type="spellStart"/>
      <w:r w:rsidR="008D10DA">
        <w:rPr>
          <w:rFonts w:eastAsia="Arial"/>
          <w:i/>
          <w:iCs/>
          <w:sz w:val="22"/>
          <w:szCs w:val="22"/>
        </w:rPr>
        <w:t>Gallinago</w:t>
      </w:r>
      <w:proofErr w:type="spellEnd"/>
      <w:r w:rsidR="008D10DA">
        <w:rPr>
          <w:rFonts w:eastAsia="Arial"/>
          <w:i/>
          <w:iCs/>
          <w:sz w:val="22"/>
          <w:szCs w:val="22"/>
        </w:rPr>
        <w:t xml:space="preserve"> </w:t>
      </w:r>
      <w:proofErr w:type="spellStart"/>
      <w:r w:rsidR="008D10DA">
        <w:rPr>
          <w:rFonts w:eastAsia="Arial"/>
          <w:i/>
          <w:iCs/>
          <w:sz w:val="22"/>
          <w:szCs w:val="22"/>
        </w:rPr>
        <w:t>hardwickii</w:t>
      </w:r>
      <w:proofErr w:type="spellEnd"/>
      <w:r w:rsidR="008D10DA">
        <w:rPr>
          <w:rFonts w:eastAsia="Arial"/>
          <w:sz w:val="22"/>
          <w:szCs w:val="22"/>
        </w:rPr>
        <w:t>).</w:t>
      </w:r>
    </w:p>
    <w:p w14:paraId="09D57495" w14:textId="77777777" w:rsidR="00517865" w:rsidRDefault="00517865" w:rsidP="008D37F1">
      <w:pPr>
        <w:spacing w:before="120" w:after="120"/>
        <w:rPr>
          <w:rFonts w:eastAsia="Arial"/>
          <w:sz w:val="22"/>
          <w:szCs w:val="22"/>
        </w:rPr>
      </w:pPr>
      <w:r>
        <w:rPr>
          <w:rFonts w:eastAsia="Arial"/>
          <w:sz w:val="22"/>
          <w:szCs w:val="22"/>
          <w:u w:val="single"/>
        </w:rPr>
        <w:t>Key potential impacts</w:t>
      </w:r>
      <w:r>
        <w:rPr>
          <w:rFonts w:eastAsia="Arial"/>
          <w:sz w:val="22"/>
          <w:szCs w:val="22"/>
        </w:rPr>
        <w:t xml:space="preserve"> from this project are:</w:t>
      </w:r>
    </w:p>
    <w:p w14:paraId="40A67CDE" w14:textId="1924A786" w:rsidR="009D7A59" w:rsidRDefault="00517865" w:rsidP="008D37F1">
      <w:pPr>
        <w:pStyle w:val="ListParagraph"/>
        <w:numPr>
          <w:ilvl w:val="0"/>
          <w:numId w:val="4"/>
        </w:numPr>
        <w:spacing w:before="120" w:after="120"/>
        <w:rPr>
          <w:sz w:val="22"/>
          <w:szCs w:val="22"/>
        </w:rPr>
      </w:pPr>
      <w:r>
        <w:rPr>
          <w:sz w:val="22"/>
          <w:szCs w:val="22"/>
        </w:rPr>
        <w:t xml:space="preserve">long-term drawdown of the water table that may impact potential terrestrial and subterranean GDEs, possibly including groundwater-dependent </w:t>
      </w:r>
      <w:proofErr w:type="gramStart"/>
      <w:r>
        <w:rPr>
          <w:sz w:val="22"/>
          <w:szCs w:val="22"/>
        </w:rPr>
        <w:t>TECs;</w:t>
      </w:r>
      <w:proofErr w:type="gramEnd"/>
    </w:p>
    <w:p w14:paraId="2E3B7089" w14:textId="316035DE" w:rsidR="00517865" w:rsidRDefault="00517865" w:rsidP="008D37F1">
      <w:pPr>
        <w:pStyle w:val="ListParagraph"/>
        <w:numPr>
          <w:ilvl w:val="0"/>
          <w:numId w:val="4"/>
        </w:numPr>
        <w:spacing w:before="120" w:after="120"/>
        <w:rPr>
          <w:sz w:val="22"/>
          <w:szCs w:val="22"/>
        </w:rPr>
      </w:pPr>
      <w:r>
        <w:rPr>
          <w:sz w:val="22"/>
          <w:szCs w:val="22"/>
        </w:rPr>
        <w:t xml:space="preserve">overtopping from the Mt Kingsley Dam of produced water that may alter surface water quality in Ironbark Creek and the constructed wetland, possibly impacting aquatic habitat and riparian </w:t>
      </w:r>
      <w:proofErr w:type="gramStart"/>
      <w:r>
        <w:rPr>
          <w:sz w:val="22"/>
          <w:szCs w:val="22"/>
        </w:rPr>
        <w:t>vegetation;</w:t>
      </w:r>
      <w:proofErr w:type="gramEnd"/>
    </w:p>
    <w:p w14:paraId="52FF5E96" w14:textId="114F62AF" w:rsidR="00517865" w:rsidRDefault="00517865" w:rsidP="008D37F1">
      <w:pPr>
        <w:pStyle w:val="ListParagraph"/>
        <w:numPr>
          <w:ilvl w:val="0"/>
          <w:numId w:val="4"/>
        </w:numPr>
        <w:spacing w:before="120" w:after="120"/>
        <w:rPr>
          <w:sz w:val="22"/>
          <w:szCs w:val="22"/>
        </w:rPr>
      </w:pPr>
      <w:r>
        <w:rPr>
          <w:sz w:val="22"/>
          <w:szCs w:val="22"/>
        </w:rPr>
        <w:t xml:space="preserve">altered surface water quality, </w:t>
      </w:r>
      <w:proofErr w:type="gramStart"/>
      <w:r>
        <w:rPr>
          <w:sz w:val="22"/>
          <w:szCs w:val="22"/>
        </w:rPr>
        <w:t>runoff</w:t>
      </w:r>
      <w:proofErr w:type="gramEnd"/>
      <w:r>
        <w:rPr>
          <w:sz w:val="22"/>
          <w:szCs w:val="22"/>
        </w:rPr>
        <w:t xml:space="preserve"> and flow regimes due to construction activities (including well pads, access tracks and pipelines); and, </w:t>
      </w:r>
    </w:p>
    <w:p w14:paraId="2D899FED" w14:textId="0CF2C99C" w:rsidR="00517865" w:rsidRDefault="00517865" w:rsidP="008D37F1">
      <w:pPr>
        <w:pStyle w:val="ListParagraph"/>
        <w:numPr>
          <w:ilvl w:val="0"/>
          <w:numId w:val="4"/>
        </w:numPr>
        <w:spacing w:before="120" w:after="120"/>
        <w:rPr>
          <w:sz w:val="22"/>
          <w:szCs w:val="22"/>
        </w:rPr>
      </w:pPr>
      <w:r>
        <w:rPr>
          <w:sz w:val="22"/>
          <w:szCs w:val="22"/>
        </w:rPr>
        <w:t>cumulative contributions to fragmentation and impaired ecological condition of water-dependent assets that potentially support multiple EPBC Act-listed species.</w:t>
      </w:r>
    </w:p>
    <w:p w14:paraId="0BF6CBC3" w14:textId="7180843B" w:rsidR="008D37F1" w:rsidRPr="008D37F1" w:rsidRDefault="008D37F1" w:rsidP="008D37F1">
      <w:pPr>
        <w:spacing w:before="120" w:after="120"/>
        <w:rPr>
          <w:rFonts w:ascii="Calibri" w:hAnsi="Calibri" w:cs="Calibri"/>
          <w:sz w:val="22"/>
          <w:szCs w:val="22"/>
        </w:rPr>
      </w:pPr>
      <w:r w:rsidRPr="008D37F1">
        <w:rPr>
          <w:rFonts w:ascii="Calibri" w:hAnsi="Calibri" w:cs="Calibri"/>
          <w:sz w:val="22"/>
          <w:szCs w:val="22"/>
        </w:rPr>
        <w:t xml:space="preserve">Consistent with the </w:t>
      </w:r>
      <w:r w:rsidRPr="008D37F1">
        <w:rPr>
          <w:rFonts w:ascii="Calibri" w:hAnsi="Calibri" w:cs="Calibri"/>
          <w:i/>
          <w:sz w:val="22"/>
          <w:szCs w:val="22"/>
        </w:rPr>
        <w:t>Environment Protection and Biodiversity Conservation Regulations 2000</w:t>
      </w:r>
      <w:r w:rsidRPr="008D37F1">
        <w:rPr>
          <w:rFonts w:ascii="Calibri" w:hAnsi="Calibri" w:cs="Calibri"/>
          <w:sz w:val="22"/>
          <w:szCs w:val="22"/>
        </w:rPr>
        <w:t>, advice will be published on the IESC’s website within 10 business days of being provided to the regulators.</w:t>
      </w:r>
    </w:p>
    <w:p w14:paraId="592D2FDA" w14:textId="77777777" w:rsidR="008D37F1" w:rsidRPr="008D37F1" w:rsidRDefault="008D37F1" w:rsidP="008D37F1">
      <w:pPr>
        <w:spacing w:before="120" w:after="120"/>
        <w:rPr>
          <w:sz w:val="22"/>
          <w:szCs w:val="22"/>
        </w:rPr>
      </w:pPr>
    </w:p>
    <w:p w14:paraId="60CE4F4A" w14:textId="77777777" w:rsidR="0087258E" w:rsidRDefault="0087258E">
      <w:pPr>
        <w:spacing w:after="160" w:line="259" w:lineRule="auto"/>
        <w:rPr>
          <w:rFonts w:cs="Arial"/>
          <w:b/>
          <w:sz w:val="22"/>
          <w:szCs w:val="22"/>
        </w:rPr>
      </w:pPr>
      <w:r>
        <w:rPr>
          <w:rFonts w:cs="Arial"/>
          <w:b/>
          <w:sz w:val="22"/>
          <w:szCs w:val="22"/>
        </w:rPr>
        <w:br w:type="page"/>
      </w:r>
    </w:p>
    <w:p w14:paraId="5FFA6ADE" w14:textId="7472525A" w:rsidR="00F03732" w:rsidRPr="00B878A8" w:rsidRDefault="0098198A" w:rsidP="00570D91">
      <w:pPr>
        <w:spacing w:before="120" w:after="120"/>
        <w:rPr>
          <w:rFonts w:cs="Arial"/>
          <w:b/>
          <w:sz w:val="22"/>
          <w:szCs w:val="22"/>
        </w:rPr>
      </w:pPr>
      <w:r>
        <w:rPr>
          <w:rFonts w:cs="Arial"/>
          <w:b/>
          <w:sz w:val="22"/>
          <w:szCs w:val="22"/>
        </w:rPr>
        <w:lastRenderedPageBreak/>
        <w:t xml:space="preserve">3. </w:t>
      </w:r>
      <w:r w:rsidR="00F03732">
        <w:rPr>
          <w:rFonts w:cs="Arial"/>
          <w:b/>
          <w:sz w:val="22"/>
          <w:szCs w:val="22"/>
        </w:rPr>
        <w:t>Other business</w:t>
      </w:r>
      <w:r w:rsidR="00F03732" w:rsidRPr="00032B27">
        <w:rPr>
          <w:rFonts w:cs="Arial"/>
          <w:b/>
          <w:sz w:val="22"/>
          <w:szCs w:val="22"/>
        </w:rPr>
        <w:t xml:space="preserve"> </w:t>
      </w:r>
    </w:p>
    <w:p w14:paraId="4BE02E93" w14:textId="41B56B43" w:rsidR="0098198A" w:rsidRDefault="0098198A" w:rsidP="00570D91">
      <w:pPr>
        <w:tabs>
          <w:tab w:val="left" w:pos="426"/>
        </w:tabs>
        <w:spacing w:before="120" w:after="120"/>
        <w:rPr>
          <w:rFonts w:cs="Arial"/>
          <w:sz w:val="22"/>
          <w:szCs w:val="22"/>
          <w:u w:val="single"/>
        </w:rPr>
      </w:pPr>
      <w:r w:rsidRPr="006F76B0">
        <w:rPr>
          <w:rFonts w:cs="Arial"/>
          <w:sz w:val="22"/>
          <w:szCs w:val="22"/>
        </w:rPr>
        <w:t>3.1</w:t>
      </w:r>
      <w:r w:rsidRPr="006F76B0">
        <w:rPr>
          <w:rFonts w:cs="Arial"/>
          <w:sz w:val="22"/>
          <w:szCs w:val="22"/>
        </w:rPr>
        <w:tab/>
      </w:r>
      <w:r w:rsidR="00EF332B" w:rsidRPr="00EF332B">
        <w:rPr>
          <w:rFonts w:cs="Arial"/>
          <w:sz w:val="22"/>
          <w:szCs w:val="22"/>
          <w:u w:val="single"/>
        </w:rPr>
        <w:t>NSW Groundwater Toolkit Presentation</w:t>
      </w:r>
    </w:p>
    <w:p w14:paraId="7060C683" w14:textId="29AE82AD" w:rsidR="00186F99" w:rsidRDefault="00186F99" w:rsidP="00570D91">
      <w:pPr>
        <w:tabs>
          <w:tab w:val="left" w:pos="426"/>
        </w:tabs>
        <w:spacing w:before="120" w:after="120"/>
        <w:rPr>
          <w:rFonts w:cs="Arial"/>
          <w:sz w:val="22"/>
          <w:szCs w:val="22"/>
        </w:rPr>
      </w:pPr>
      <w:r>
        <w:rPr>
          <w:rFonts w:cs="Arial"/>
          <w:sz w:val="22"/>
          <w:szCs w:val="22"/>
        </w:rPr>
        <w:t xml:space="preserve">Representatives from the NSW Department of Planning and Environment’s Water Division presented on technical guidelines (‘The Groundwater Toolkit’) that have been developed to help </w:t>
      </w:r>
      <w:r w:rsidR="00C90199">
        <w:rPr>
          <w:rFonts w:cs="Arial"/>
          <w:sz w:val="22"/>
          <w:szCs w:val="22"/>
        </w:rPr>
        <w:t xml:space="preserve">guide </w:t>
      </w:r>
      <w:r>
        <w:rPr>
          <w:rFonts w:cs="Arial"/>
          <w:sz w:val="22"/>
          <w:szCs w:val="22"/>
        </w:rPr>
        <w:t xml:space="preserve">applicants of major projects in NSW </w:t>
      </w:r>
      <w:r w:rsidR="00C90199">
        <w:rPr>
          <w:rFonts w:cs="Arial"/>
          <w:sz w:val="22"/>
          <w:szCs w:val="22"/>
        </w:rPr>
        <w:t xml:space="preserve">understand the requirements of submissions, </w:t>
      </w:r>
      <w:r>
        <w:rPr>
          <w:rFonts w:cs="Arial"/>
          <w:sz w:val="22"/>
          <w:szCs w:val="22"/>
        </w:rPr>
        <w:t xml:space="preserve">increase </w:t>
      </w:r>
      <w:proofErr w:type="gramStart"/>
      <w:r>
        <w:rPr>
          <w:rFonts w:cs="Arial"/>
          <w:sz w:val="22"/>
          <w:szCs w:val="22"/>
        </w:rPr>
        <w:t>transparency</w:t>
      </w:r>
      <w:proofErr w:type="gramEnd"/>
      <w:r>
        <w:rPr>
          <w:rFonts w:cs="Arial"/>
          <w:sz w:val="22"/>
          <w:szCs w:val="22"/>
        </w:rPr>
        <w:t xml:space="preserve"> and provide better documentation of major projects at different stages of the project</w:t>
      </w:r>
      <w:r w:rsidR="003F5CAA">
        <w:rPr>
          <w:rFonts w:cs="Arial"/>
          <w:sz w:val="22"/>
          <w:szCs w:val="22"/>
        </w:rPr>
        <w:t>,</w:t>
      </w:r>
      <w:r w:rsidR="003D5B81">
        <w:rPr>
          <w:rFonts w:cs="Arial"/>
          <w:sz w:val="22"/>
          <w:szCs w:val="22"/>
        </w:rPr>
        <w:t xml:space="preserve"> </w:t>
      </w:r>
      <w:r w:rsidR="00892FE6">
        <w:rPr>
          <w:rFonts w:cs="Arial"/>
          <w:sz w:val="22"/>
          <w:szCs w:val="22"/>
        </w:rPr>
        <w:t xml:space="preserve">with an </w:t>
      </w:r>
      <w:r w:rsidR="00C90199">
        <w:rPr>
          <w:rFonts w:cs="Arial"/>
          <w:sz w:val="22"/>
          <w:szCs w:val="22"/>
        </w:rPr>
        <w:t>aim</w:t>
      </w:r>
      <w:r w:rsidR="00892FE6">
        <w:rPr>
          <w:rFonts w:cs="Arial"/>
          <w:sz w:val="22"/>
          <w:szCs w:val="22"/>
        </w:rPr>
        <w:t xml:space="preserve"> of</w:t>
      </w:r>
      <w:r w:rsidR="00C90199">
        <w:rPr>
          <w:rFonts w:cs="Arial"/>
          <w:sz w:val="22"/>
          <w:szCs w:val="22"/>
        </w:rPr>
        <w:t xml:space="preserve"> shorter approval time for the applicant and overall better efficiency for all involved.</w:t>
      </w:r>
    </w:p>
    <w:p w14:paraId="771252B6" w14:textId="0249753E" w:rsidR="00B878A8" w:rsidRDefault="006F76B0" w:rsidP="00570D91">
      <w:pPr>
        <w:tabs>
          <w:tab w:val="left" w:pos="426"/>
        </w:tabs>
        <w:spacing w:before="120" w:after="120"/>
        <w:rPr>
          <w:rFonts w:cs="Arial"/>
          <w:sz w:val="22"/>
          <w:szCs w:val="22"/>
          <w:u w:val="single"/>
        </w:rPr>
      </w:pPr>
      <w:r w:rsidRPr="006F76B0">
        <w:rPr>
          <w:rFonts w:cs="Arial"/>
          <w:sz w:val="22"/>
          <w:szCs w:val="22"/>
        </w:rPr>
        <w:t>3.</w:t>
      </w:r>
      <w:r>
        <w:rPr>
          <w:rFonts w:cs="Arial"/>
          <w:sz w:val="22"/>
          <w:szCs w:val="22"/>
        </w:rPr>
        <w:t>2</w:t>
      </w:r>
      <w:r w:rsidR="003B4163">
        <w:rPr>
          <w:rFonts w:cs="Arial"/>
          <w:sz w:val="22"/>
          <w:szCs w:val="22"/>
        </w:rPr>
        <w:tab/>
      </w:r>
      <w:r w:rsidR="00354317" w:rsidRPr="00354317">
        <w:rPr>
          <w:rFonts w:cs="Arial"/>
          <w:sz w:val="22"/>
          <w:szCs w:val="22"/>
          <w:u w:val="single"/>
        </w:rPr>
        <w:t>Presentation: Dark secrets and black boxes</w:t>
      </w:r>
    </w:p>
    <w:p w14:paraId="1E418EA0" w14:textId="3B0B4169" w:rsidR="002C3D60" w:rsidRDefault="002C3D60">
      <w:pPr>
        <w:tabs>
          <w:tab w:val="left" w:pos="426"/>
        </w:tabs>
        <w:spacing w:before="120" w:after="120"/>
        <w:rPr>
          <w:rFonts w:cstheme="minorHAnsi"/>
          <w:sz w:val="22"/>
          <w:szCs w:val="22"/>
        </w:rPr>
      </w:pPr>
      <w:r>
        <w:rPr>
          <w:rFonts w:cstheme="minorHAnsi"/>
          <w:sz w:val="22"/>
          <w:szCs w:val="22"/>
        </w:rPr>
        <w:t xml:space="preserve">Committee member Dr Andrew Boulton gave a presentation on </w:t>
      </w:r>
      <w:r w:rsidR="00AA5552">
        <w:rPr>
          <w:rFonts w:cstheme="minorHAnsi"/>
          <w:sz w:val="22"/>
          <w:szCs w:val="22"/>
        </w:rPr>
        <w:t xml:space="preserve">stygofauna ecology and ecohydrological conceptual models in environmental impact assessment. The presentation focused on </w:t>
      </w:r>
      <w:proofErr w:type="spellStart"/>
      <w:r w:rsidR="00AA5552">
        <w:rPr>
          <w:rFonts w:cstheme="minorHAnsi"/>
          <w:sz w:val="22"/>
          <w:szCs w:val="22"/>
        </w:rPr>
        <w:t>stygofaunal</w:t>
      </w:r>
      <w:proofErr w:type="spellEnd"/>
      <w:r w:rsidR="00AA5552">
        <w:rPr>
          <w:rFonts w:cstheme="minorHAnsi"/>
          <w:sz w:val="22"/>
          <w:szCs w:val="22"/>
        </w:rPr>
        <w:t xml:space="preserve"> relevance and habitat preferences, elements of ecohydrological conceptual models, and potential ways to derive conceptual models.</w:t>
      </w:r>
    </w:p>
    <w:p w14:paraId="5DEFBF18" w14:textId="767B83CA" w:rsidR="006D4772" w:rsidRPr="00E34B46" w:rsidRDefault="006D4772">
      <w:pPr>
        <w:tabs>
          <w:tab w:val="left" w:pos="426"/>
        </w:tabs>
        <w:spacing w:before="120" w:after="120"/>
        <w:rPr>
          <w:sz w:val="22"/>
          <w:szCs w:val="22"/>
          <w:u w:val="single"/>
        </w:rPr>
      </w:pPr>
      <w:r w:rsidRPr="001F55FF">
        <w:rPr>
          <w:rFonts w:cs="Arial"/>
          <w:sz w:val="22"/>
          <w:szCs w:val="22"/>
        </w:rPr>
        <w:t>3.3</w:t>
      </w:r>
      <w:r w:rsidR="003B4163" w:rsidRPr="001F55FF">
        <w:rPr>
          <w:sz w:val="22"/>
          <w:szCs w:val="22"/>
        </w:rPr>
        <w:tab/>
      </w:r>
      <w:r w:rsidR="00AE2B88" w:rsidRPr="00AE2B88">
        <w:rPr>
          <w:sz w:val="22"/>
          <w:szCs w:val="22"/>
          <w:u w:val="single"/>
        </w:rPr>
        <w:t>Ecohydrological Conceptual Models Explanatory Note Update</w:t>
      </w:r>
    </w:p>
    <w:p w14:paraId="48A52655" w14:textId="7E927F5B" w:rsidR="0045226F" w:rsidRDefault="0045226F">
      <w:pPr>
        <w:tabs>
          <w:tab w:val="left" w:pos="426"/>
        </w:tabs>
        <w:spacing w:before="120" w:after="120"/>
        <w:rPr>
          <w:rFonts w:ascii="Calibri" w:hAnsi="Calibri" w:cs="Calibri"/>
          <w:sz w:val="22"/>
          <w:szCs w:val="22"/>
        </w:rPr>
      </w:pPr>
      <w:r>
        <w:rPr>
          <w:rFonts w:ascii="Calibri" w:hAnsi="Calibri" w:cs="Calibri"/>
          <w:sz w:val="22"/>
          <w:szCs w:val="22"/>
        </w:rPr>
        <w:t xml:space="preserve">The Committee discussed </w:t>
      </w:r>
      <w:r w:rsidR="006642F4">
        <w:rPr>
          <w:rFonts w:ascii="Calibri" w:hAnsi="Calibri" w:cs="Calibri"/>
          <w:sz w:val="22"/>
          <w:szCs w:val="22"/>
        </w:rPr>
        <w:t xml:space="preserve">the scope of </w:t>
      </w:r>
      <w:r w:rsidR="00F15F8B">
        <w:rPr>
          <w:rFonts w:ascii="Calibri" w:hAnsi="Calibri" w:cs="Calibri"/>
          <w:sz w:val="22"/>
          <w:szCs w:val="22"/>
        </w:rPr>
        <w:t xml:space="preserve">the Explanatory Note on the </w:t>
      </w:r>
      <w:r w:rsidR="00005018" w:rsidRPr="00C50AB4">
        <w:rPr>
          <w:rFonts w:ascii="Calibri" w:hAnsi="Calibri" w:cs="Calibri"/>
          <w:i/>
          <w:iCs/>
          <w:sz w:val="22"/>
          <w:szCs w:val="22"/>
        </w:rPr>
        <w:t>D</w:t>
      </w:r>
      <w:r w:rsidR="00F15F8B" w:rsidRPr="00C50AB4">
        <w:rPr>
          <w:rFonts w:ascii="Calibri" w:hAnsi="Calibri" w:cs="Calibri"/>
          <w:i/>
          <w:iCs/>
          <w:sz w:val="22"/>
          <w:szCs w:val="22"/>
        </w:rPr>
        <w:t>evelopment</w:t>
      </w:r>
      <w:r w:rsidR="00F15F8B" w:rsidRPr="00C50AB4">
        <w:rPr>
          <w:rFonts w:ascii="Calibri" w:hAnsi="Calibri" w:cs="Calibri"/>
          <w:i/>
          <w:sz w:val="22"/>
          <w:szCs w:val="22"/>
        </w:rPr>
        <w:t xml:space="preserve"> and use of ecohydrological conceptual models</w:t>
      </w:r>
      <w:r w:rsidR="00005018">
        <w:rPr>
          <w:rFonts w:ascii="Calibri" w:hAnsi="Calibri" w:cs="Calibri"/>
          <w:sz w:val="22"/>
          <w:szCs w:val="22"/>
        </w:rPr>
        <w:t xml:space="preserve"> (provisional title) with </w:t>
      </w:r>
      <w:r w:rsidR="000B46AA">
        <w:rPr>
          <w:rFonts w:ascii="Calibri" w:hAnsi="Calibri" w:cs="Calibri"/>
          <w:sz w:val="22"/>
          <w:szCs w:val="22"/>
        </w:rPr>
        <w:t xml:space="preserve">Jennifer Hale and Michelle Dickson, </w:t>
      </w:r>
      <w:r w:rsidR="00005018">
        <w:rPr>
          <w:rFonts w:ascii="Calibri" w:hAnsi="Calibri" w:cs="Calibri"/>
          <w:sz w:val="22"/>
          <w:szCs w:val="22"/>
        </w:rPr>
        <w:t>the supplier</w:t>
      </w:r>
      <w:r w:rsidR="000B46AA">
        <w:rPr>
          <w:rFonts w:ascii="Calibri" w:hAnsi="Calibri" w:cs="Calibri"/>
          <w:sz w:val="22"/>
          <w:szCs w:val="22"/>
        </w:rPr>
        <w:t>s</w:t>
      </w:r>
      <w:r w:rsidR="00005018">
        <w:rPr>
          <w:rFonts w:ascii="Calibri" w:hAnsi="Calibri" w:cs="Calibri"/>
          <w:sz w:val="22"/>
          <w:szCs w:val="22"/>
        </w:rPr>
        <w:t xml:space="preserve"> contracted by OWS</w:t>
      </w:r>
      <w:r w:rsidR="00F15F8B">
        <w:rPr>
          <w:rFonts w:ascii="Calibri" w:hAnsi="Calibri" w:cs="Calibri"/>
          <w:sz w:val="22"/>
          <w:szCs w:val="22"/>
        </w:rPr>
        <w:t xml:space="preserve">. </w:t>
      </w:r>
      <w:r w:rsidR="006642F4">
        <w:rPr>
          <w:rFonts w:ascii="Calibri" w:hAnsi="Calibri" w:cs="Calibri"/>
          <w:sz w:val="22"/>
          <w:szCs w:val="22"/>
        </w:rPr>
        <w:t xml:space="preserve">Approaches to engaging with stakeholders were also discussed, where a </w:t>
      </w:r>
      <w:r w:rsidR="0061523A">
        <w:rPr>
          <w:rFonts w:ascii="Calibri" w:hAnsi="Calibri" w:cs="Calibri"/>
          <w:sz w:val="22"/>
          <w:szCs w:val="22"/>
        </w:rPr>
        <w:t xml:space="preserve">survey and follow up interviews </w:t>
      </w:r>
      <w:r w:rsidR="006642F4">
        <w:rPr>
          <w:rFonts w:ascii="Calibri" w:hAnsi="Calibri" w:cs="Calibri"/>
          <w:sz w:val="22"/>
          <w:szCs w:val="22"/>
        </w:rPr>
        <w:t xml:space="preserve">were considered the best options to progress. </w:t>
      </w:r>
      <w:r w:rsidR="0061523A">
        <w:rPr>
          <w:rFonts w:ascii="Calibri" w:hAnsi="Calibri" w:cs="Calibri"/>
          <w:sz w:val="22"/>
          <w:szCs w:val="22"/>
        </w:rPr>
        <w:t>It was agreed that a workshop should be considered later in the project once the Explanatory Note has been drafted.</w:t>
      </w:r>
    </w:p>
    <w:p w14:paraId="39838C7B" w14:textId="65ADBB5A" w:rsidR="00EC24E1" w:rsidRPr="00E34B46" w:rsidRDefault="00EC24E1">
      <w:pPr>
        <w:tabs>
          <w:tab w:val="left" w:pos="426"/>
        </w:tabs>
        <w:spacing w:before="120" w:after="120"/>
        <w:rPr>
          <w:sz w:val="22"/>
          <w:szCs w:val="22"/>
          <w:u w:val="single"/>
        </w:rPr>
      </w:pPr>
      <w:r w:rsidRPr="00E34B46">
        <w:rPr>
          <w:sz w:val="22"/>
          <w:szCs w:val="22"/>
        </w:rPr>
        <w:t>3.4</w:t>
      </w:r>
      <w:r w:rsidR="003B4163" w:rsidRPr="00E34B46">
        <w:rPr>
          <w:sz w:val="22"/>
          <w:szCs w:val="22"/>
        </w:rPr>
        <w:tab/>
      </w:r>
      <w:r w:rsidR="0031475C" w:rsidRPr="0031475C">
        <w:rPr>
          <w:sz w:val="22"/>
          <w:szCs w:val="22"/>
          <w:u w:val="single"/>
        </w:rPr>
        <w:t>Update on IESC Input into the Regional Planning Approach Framework</w:t>
      </w:r>
    </w:p>
    <w:p w14:paraId="64C9D7F9" w14:textId="598F65D8" w:rsidR="00262B64" w:rsidRDefault="00B366ED">
      <w:pPr>
        <w:tabs>
          <w:tab w:val="left" w:pos="426"/>
        </w:tabs>
        <w:spacing w:before="120" w:after="120"/>
        <w:rPr>
          <w:rFonts w:cstheme="minorHAnsi"/>
          <w:sz w:val="22"/>
          <w:szCs w:val="22"/>
        </w:rPr>
      </w:pPr>
      <w:r w:rsidRPr="00142663">
        <w:rPr>
          <w:rFonts w:cstheme="minorHAnsi"/>
          <w:sz w:val="22"/>
          <w:szCs w:val="22"/>
        </w:rPr>
        <w:t xml:space="preserve">The Committee discussed approaches and frameworks for the development of a regional plan in relation to Recommendations 25 and 26 of the Independent Review of the EPBC Act. </w:t>
      </w:r>
    </w:p>
    <w:p w14:paraId="5AB86530" w14:textId="1ABDC2B1" w:rsidR="00E42592" w:rsidRPr="00E34B46" w:rsidRDefault="00E42592">
      <w:pPr>
        <w:tabs>
          <w:tab w:val="left" w:pos="426"/>
        </w:tabs>
        <w:spacing w:before="120" w:after="120"/>
        <w:rPr>
          <w:sz w:val="22"/>
          <w:szCs w:val="22"/>
          <w:u w:val="single"/>
        </w:rPr>
      </w:pPr>
      <w:r w:rsidRPr="009406B8">
        <w:rPr>
          <w:sz w:val="22"/>
          <w:szCs w:val="22"/>
        </w:rPr>
        <w:t>3.5</w:t>
      </w:r>
      <w:r w:rsidRPr="009406B8">
        <w:rPr>
          <w:sz w:val="22"/>
          <w:szCs w:val="22"/>
        </w:rPr>
        <w:tab/>
      </w:r>
      <w:r w:rsidR="00597BC6" w:rsidRPr="00597BC6">
        <w:rPr>
          <w:sz w:val="22"/>
          <w:szCs w:val="22"/>
          <w:u w:val="single"/>
        </w:rPr>
        <w:t>2022 IESC Stakeholder Engagement</w:t>
      </w:r>
    </w:p>
    <w:p w14:paraId="18501D04" w14:textId="649A5015" w:rsidR="00EA7C8A" w:rsidRPr="007637EB" w:rsidRDefault="00E7185F">
      <w:pPr>
        <w:spacing w:before="120" w:after="120"/>
        <w:rPr>
          <w:rFonts w:cstheme="minorHAnsi"/>
          <w:color w:val="000000"/>
          <w:sz w:val="22"/>
          <w:szCs w:val="22"/>
        </w:rPr>
      </w:pPr>
      <w:r w:rsidRPr="007637EB">
        <w:rPr>
          <w:rFonts w:cstheme="minorHAnsi"/>
          <w:color w:val="000000"/>
          <w:sz w:val="22"/>
          <w:szCs w:val="22"/>
        </w:rPr>
        <w:t xml:space="preserve">The Committee discussed </w:t>
      </w:r>
      <w:r w:rsidR="0027460C" w:rsidRPr="007637EB">
        <w:rPr>
          <w:rFonts w:cstheme="minorHAnsi"/>
          <w:color w:val="000000"/>
          <w:sz w:val="22"/>
          <w:szCs w:val="22"/>
        </w:rPr>
        <w:t xml:space="preserve">and agreed to undertake </w:t>
      </w:r>
      <w:r w:rsidR="00CA1D16" w:rsidRPr="007637EB">
        <w:rPr>
          <w:rFonts w:cstheme="minorHAnsi"/>
          <w:color w:val="000000"/>
          <w:sz w:val="22"/>
          <w:szCs w:val="22"/>
        </w:rPr>
        <w:t>various</w:t>
      </w:r>
      <w:r w:rsidR="00EA7C8A" w:rsidRPr="007637EB">
        <w:rPr>
          <w:rFonts w:cstheme="minorHAnsi"/>
          <w:color w:val="000000"/>
          <w:sz w:val="22"/>
          <w:szCs w:val="22"/>
        </w:rPr>
        <w:t xml:space="preserve"> stakeholder engagement projects in 2022</w:t>
      </w:r>
      <w:r w:rsidR="0027460C" w:rsidRPr="007637EB">
        <w:rPr>
          <w:rFonts w:cstheme="minorHAnsi"/>
          <w:color w:val="000000"/>
          <w:sz w:val="22"/>
          <w:szCs w:val="22"/>
        </w:rPr>
        <w:t>.</w:t>
      </w:r>
    </w:p>
    <w:p w14:paraId="574C4D91" w14:textId="5ACA273C"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7559F7" w:rsidRDefault="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ev</w:t>
      </w:r>
      <w:r w:rsidRPr="009406B8">
        <w:rPr>
          <w:rFonts w:cs="Arial"/>
          <w:sz w:val="22"/>
          <w:szCs w:val="22"/>
        </w:rPr>
        <w:t xml:space="preserve">eryone for their contribution to the meeting. </w:t>
      </w:r>
    </w:p>
    <w:p w14:paraId="6DF93523" w14:textId="618D10CC" w:rsidR="00273E51" w:rsidRPr="007559F7" w:rsidRDefault="00273E51">
      <w:pPr>
        <w:tabs>
          <w:tab w:val="left" w:pos="426"/>
        </w:tabs>
        <w:spacing w:before="120" w:after="120"/>
        <w:rPr>
          <w:rFonts w:cs="Arial"/>
          <w:sz w:val="22"/>
          <w:szCs w:val="22"/>
        </w:rPr>
      </w:pPr>
      <w:r w:rsidRPr="00B80CA8">
        <w:rPr>
          <w:rFonts w:cs="Arial"/>
          <w:sz w:val="22"/>
          <w:szCs w:val="22"/>
        </w:rPr>
        <w:t xml:space="preserve">The meeting closed at </w:t>
      </w:r>
      <w:r w:rsidR="009F786C" w:rsidRPr="00B80CA8">
        <w:rPr>
          <w:rFonts w:cs="Arial"/>
          <w:sz w:val="22"/>
          <w:szCs w:val="22"/>
        </w:rPr>
        <w:t>11</w:t>
      </w:r>
      <w:r w:rsidR="00E34B46" w:rsidRPr="00B80CA8">
        <w:rPr>
          <w:rFonts w:cs="Arial"/>
          <w:sz w:val="22"/>
          <w:szCs w:val="22"/>
        </w:rPr>
        <w:t>.</w:t>
      </w:r>
      <w:r w:rsidR="009F786C" w:rsidRPr="00B80CA8">
        <w:rPr>
          <w:rFonts w:cs="Arial"/>
          <w:sz w:val="22"/>
          <w:szCs w:val="22"/>
        </w:rPr>
        <w:t>4</w:t>
      </w:r>
      <w:r w:rsidR="00E34B46" w:rsidRPr="00B80CA8">
        <w:rPr>
          <w:rFonts w:cs="Arial"/>
          <w:sz w:val="22"/>
          <w:szCs w:val="22"/>
        </w:rPr>
        <w:t xml:space="preserve">5 </w:t>
      </w:r>
      <w:r w:rsidR="009F786C" w:rsidRPr="00B80CA8">
        <w:rPr>
          <w:rFonts w:cs="Arial"/>
          <w:sz w:val="22"/>
          <w:szCs w:val="22"/>
        </w:rPr>
        <w:t>a</w:t>
      </w:r>
      <w:r w:rsidR="002110E5" w:rsidRPr="00B80CA8">
        <w:rPr>
          <w:rFonts w:cs="Arial"/>
          <w:sz w:val="22"/>
          <w:szCs w:val="22"/>
        </w:rPr>
        <w:t xml:space="preserve">m on </w:t>
      </w:r>
      <w:r w:rsidR="00617844" w:rsidRPr="00B80CA8">
        <w:rPr>
          <w:rFonts w:cs="Arial"/>
          <w:sz w:val="22"/>
          <w:szCs w:val="22"/>
        </w:rPr>
        <w:t>Friday 4 February</w:t>
      </w:r>
      <w:r w:rsidR="002110E5" w:rsidRPr="00B80CA8">
        <w:rPr>
          <w:rFonts w:cs="Arial"/>
          <w:sz w:val="22"/>
          <w:szCs w:val="22"/>
        </w:rPr>
        <w:t xml:space="preserve"> 202</w:t>
      </w:r>
      <w:r w:rsidR="00513AD4" w:rsidRPr="00B80CA8">
        <w:rPr>
          <w:rFonts w:cs="Arial"/>
          <w:sz w:val="22"/>
          <w:szCs w:val="22"/>
        </w:rPr>
        <w:t>2</w:t>
      </w:r>
      <w:r w:rsidR="002110E5" w:rsidRPr="00B80CA8">
        <w:rPr>
          <w:rFonts w:cs="Arial"/>
          <w:sz w:val="22"/>
          <w:szCs w:val="22"/>
        </w:rPr>
        <w:t>.</w:t>
      </w:r>
    </w:p>
    <w:p w14:paraId="0C786C97" w14:textId="77777777" w:rsidR="00273E51" w:rsidRPr="008F5DC9" w:rsidRDefault="00273E51">
      <w:pPr>
        <w:tabs>
          <w:tab w:val="left" w:pos="426"/>
        </w:tabs>
        <w:spacing w:before="120" w:after="120"/>
        <w:rPr>
          <w:rFonts w:cs="Arial"/>
          <w:b/>
          <w:sz w:val="22"/>
          <w:szCs w:val="22"/>
        </w:rPr>
      </w:pPr>
      <w:r w:rsidRPr="008F5DC9">
        <w:rPr>
          <w:rFonts w:cs="Arial"/>
          <w:b/>
          <w:sz w:val="22"/>
          <w:szCs w:val="22"/>
        </w:rPr>
        <w:t>Next Meeting</w:t>
      </w:r>
    </w:p>
    <w:p w14:paraId="02EA8D7D" w14:textId="1D6E70C7" w:rsidR="00273E51" w:rsidRPr="0094790E" w:rsidRDefault="00273E51">
      <w:pPr>
        <w:tabs>
          <w:tab w:val="left" w:pos="426"/>
        </w:tabs>
        <w:spacing w:before="120" w:after="120"/>
        <w:rPr>
          <w:rFonts w:cs="Arial"/>
          <w:sz w:val="22"/>
          <w:szCs w:val="22"/>
        </w:rPr>
      </w:pPr>
      <w:r w:rsidRPr="008F5DC9">
        <w:rPr>
          <w:rFonts w:cs="Arial"/>
          <w:sz w:val="22"/>
          <w:szCs w:val="22"/>
        </w:rPr>
        <w:t>The next meeting is scheduled for</w:t>
      </w:r>
      <w:r w:rsidR="00617844">
        <w:rPr>
          <w:rFonts w:cs="Arial"/>
          <w:sz w:val="22"/>
          <w:szCs w:val="22"/>
        </w:rPr>
        <w:t xml:space="preserve"> </w:t>
      </w:r>
      <w:r w:rsidR="00A12013">
        <w:rPr>
          <w:rFonts w:cs="Arial"/>
          <w:sz w:val="22"/>
          <w:szCs w:val="22"/>
        </w:rPr>
        <w:t xml:space="preserve">9 </w:t>
      </w:r>
      <w:r w:rsidR="00617844">
        <w:rPr>
          <w:rFonts w:cs="Arial"/>
          <w:sz w:val="22"/>
          <w:szCs w:val="22"/>
        </w:rPr>
        <w:t>March</w:t>
      </w:r>
      <w:r w:rsidR="005A2D2B" w:rsidRPr="004D3B2B">
        <w:rPr>
          <w:rFonts w:cs="Arial"/>
          <w:sz w:val="22"/>
          <w:szCs w:val="22"/>
        </w:rPr>
        <w:t xml:space="preserve"> </w:t>
      </w:r>
      <w:r w:rsidR="003727D7" w:rsidRPr="004D3B2B">
        <w:rPr>
          <w:rFonts w:cs="Arial"/>
          <w:sz w:val="22"/>
          <w:szCs w:val="22"/>
        </w:rPr>
        <w:t>2022</w:t>
      </w:r>
      <w:r w:rsidR="00FC44FB" w:rsidRPr="004D3B2B">
        <w:rPr>
          <w:rFonts w:cs="Arial"/>
          <w:sz w:val="22"/>
          <w:szCs w:val="22"/>
        </w:rPr>
        <w:t>.</w:t>
      </w:r>
      <w:r w:rsidR="00FC44FB" w:rsidRPr="002110E5">
        <w:rPr>
          <w:rFonts w:cs="Arial"/>
          <w:sz w:val="22"/>
          <w:szCs w:val="22"/>
        </w:rPr>
        <w:t xml:space="preserve"> </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694C52">
        <w:rPr>
          <w:rFonts w:cs="Arial"/>
          <w:sz w:val="22"/>
          <w:szCs w:val="22"/>
        </w:rPr>
        <w:t>Minutes confirmed as true and correct:</w:t>
      </w:r>
    </w:p>
    <w:p w14:paraId="70977B18"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Dr Chris Pigram AM, FTSE</w:t>
      </w:r>
    </w:p>
    <w:p w14:paraId="7E5A3111"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IESC Chair</w:t>
      </w:r>
    </w:p>
    <w:p w14:paraId="65194200" w14:textId="624DFF6A" w:rsidR="00694C52" w:rsidRPr="00694C52" w:rsidRDefault="00141777" w:rsidP="00694C52">
      <w:pPr>
        <w:tabs>
          <w:tab w:val="left" w:pos="426"/>
        </w:tabs>
        <w:spacing w:before="120" w:after="120"/>
        <w:rPr>
          <w:rFonts w:cs="Arial"/>
          <w:sz w:val="22"/>
          <w:szCs w:val="22"/>
        </w:rPr>
      </w:pPr>
      <w:r w:rsidRPr="00141777">
        <w:rPr>
          <w:rFonts w:cs="Arial"/>
          <w:sz w:val="22"/>
          <w:szCs w:val="22"/>
        </w:rPr>
        <w:t>15</w:t>
      </w:r>
      <w:r w:rsidR="005F1BD0" w:rsidRPr="00141777">
        <w:rPr>
          <w:rFonts w:cs="Arial"/>
          <w:sz w:val="22"/>
          <w:szCs w:val="22"/>
        </w:rPr>
        <w:t xml:space="preserve"> </w:t>
      </w:r>
      <w:r w:rsidR="00617844" w:rsidRPr="00141777">
        <w:rPr>
          <w:rFonts w:cs="Arial"/>
          <w:sz w:val="22"/>
          <w:szCs w:val="22"/>
        </w:rPr>
        <w:t>February 2022</w:t>
      </w:r>
    </w:p>
    <w:p w14:paraId="122294DD" w14:textId="726A941C" w:rsidR="004348FE" w:rsidRDefault="004348FE" w:rsidP="00360B98">
      <w:pPr>
        <w:spacing w:after="160" w:line="259" w:lineRule="auto"/>
        <w:rPr>
          <w:rFonts w:ascii="Calibri" w:hAnsi="Calibri" w:cs="Arial"/>
          <w:b/>
          <w:color w:val="000000" w:themeColor="text1"/>
        </w:rPr>
      </w:pPr>
    </w:p>
    <w:p w14:paraId="7DC0DF11" w14:textId="6B3A9AC4" w:rsidR="007559F7" w:rsidRDefault="007559F7">
      <w:pPr>
        <w:spacing w:after="160" w:line="259" w:lineRule="auto"/>
        <w:rPr>
          <w:rFonts w:ascii="Calibri" w:hAnsi="Calibri" w:cs="Arial"/>
          <w:b/>
          <w:color w:val="000000" w:themeColor="text1"/>
        </w:rPr>
      </w:pPr>
      <w:r>
        <w:rPr>
          <w:rFonts w:ascii="Calibri" w:hAnsi="Calibri" w:cs="Arial"/>
          <w:b/>
          <w:color w:val="000000" w:themeColor="text1"/>
        </w:rPr>
        <w:br w:type="page"/>
      </w:r>
    </w:p>
    <w:p w14:paraId="60710757" w14:textId="77777777" w:rsidR="007559F7" w:rsidRPr="00316669" w:rsidRDefault="007559F7" w:rsidP="007559F7">
      <w:pPr>
        <w:spacing w:after="160" w:line="259" w:lineRule="auto"/>
        <w:rPr>
          <w:rFonts w:ascii="Calibri" w:hAnsi="Calibri" w:cs="Calibri"/>
          <w:b/>
          <w:color w:val="000000" w:themeColor="text1"/>
          <w:sz w:val="22"/>
          <w:szCs w:val="22"/>
        </w:rPr>
      </w:pPr>
      <w:r w:rsidRPr="00316669">
        <w:rPr>
          <w:rFonts w:ascii="Calibri" w:hAnsi="Calibri" w:cs="Arial"/>
          <w:b/>
          <w:color w:val="000000" w:themeColor="text1"/>
          <w:sz w:val="22"/>
          <w:szCs w:val="22"/>
        </w:rPr>
        <w:lastRenderedPageBreak/>
        <w:t>Attachm</w:t>
      </w:r>
      <w:r w:rsidRPr="00316669">
        <w:rPr>
          <w:rFonts w:ascii="Calibri" w:hAnsi="Calibri" w:cs="Calibri"/>
          <w:b/>
          <w:color w:val="000000" w:themeColor="text1"/>
          <w:sz w:val="22"/>
          <w:szCs w:val="22"/>
        </w:rPr>
        <w:t>ent A</w:t>
      </w:r>
    </w:p>
    <w:p w14:paraId="6B336B98" w14:textId="77777777" w:rsidR="007559F7" w:rsidRPr="00316669" w:rsidRDefault="007559F7" w:rsidP="007559F7">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850"/>
        <w:gridCol w:w="2264"/>
        <w:gridCol w:w="3118"/>
        <w:gridCol w:w="3261"/>
      </w:tblGrid>
      <w:tr w:rsidR="007559F7" w:rsidRPr="00316669" w14:paraId="2562FE2D" w14:textId="77777777" w:rsidTr="008F5DC9">
        <w:trPr>
          <w:cnfStyle w:val="100000000000" w:firstRow="1" w:lastRow="0" w:firstColumn="0" w:lastColumn="0" w:oddVBand="0" w:evenVBand="0" w:oddHBand="0" w:evenHBand="0" w:firstRowFirstColumn="0" w:firstRowLastColumn="0" w:lastRowFirstColumn="0" w:lastRowLastColumn="0"/>
        </w:trPr>
        <w:tc>
          <w:tcPr>
            <w:tcW w:w="850" w:type="dxa"/>
          </w:tcPr>
          <w:p w14:paraId="2EB3A200" w14:textId="77777777" w:rsidR="007559F7" w:rsidRPr="00316669" w:rsidRDefault="007559F7" w:rsidP="007559F7">
            <w:pPr>
              <w:tabs>
                <w:tab w:val="left" w:pos="426"/>
              </w:tabs>
              <w:spacing w:before="120" w:after="120"/>
              <w:rPr>
                <w:rFonts w:ascii="Calibri" w:hAnsi="Calibri" w:cs="Calibri"/>
                <w:color w:val="000000" w:themeColor="text1"/>
                <w:sz w:val="22"/>
                <w:szCs w:val="22"/>
              </w:rPr>
            </w:pPr>
            <w:r w:rsidRPr="00316669">
              <w:rPr>
                <w:rFonts w:ascii="Calibri" w:hAnsi="Calibri" w:cs="Calibri"/>
                <w:color w:val="000000" w:themeColor="text1"/>
                <w:sz w:val="22"/>
                <w:szCs w:val="22"/>
              </w:rPr>
              <w:t>Item(s)</w:t>
            </w:r>
          </w:p>
        </w:tc>
        <w:tc>
          <w:tcPr>
            <w:tcW w:w="2264" w:type="dxa"/>
          </w:tcPr>
          <w:p w14:paraId="3C5AB689" w14:textId="77777777" w:rsidR="007559F7" w:rsidRPr="008326A7" w:rsidRDefault="007559F7" w:rsidP="007559F7">
            <w:pPr>
              <w:tabs>
                <w:tab w:val="left" w:pos="426"/>
              </w:tabs>
              <w:spacing w:before="120" w:after="120"/>
              <w:rPr>
                <w:rFonts w:ascii="Calibri" w:hAnsi="Calibri" w:cs="Calibri"/>
                <w:color w:val="000000" w:themeColor="text1"/>
                <w:sz w:val="22"/>
                <w:szCs w:val="22"/>
              </w:rPr>
            </w:pPr>
            <w:r w:rsidRPr="008326A7">
              <w:rPr>
                <w:rFonts w:ascii="Calibri" w:hAnsi="Calibri" w:cs="Calibri"/>
                <w:color w:val="000000" w:themeColor="text1"/>
                <w:sz w:val="22"/>
                <w:szCs w:val="22"/>
              </w:rPr>
              <w:t>IESC Member</w:t>
            </w:r>
          </w:p>
        </w:tc>
        <w:tc>
          <w:tcPr>
            <w:tcW w:w="3118" w:type="dxa"/>
          </w:tcPr>
          <w:p w14:paraId="7F198C1E" w14:textId="77777777" w:rsidR="007559F7" w:rsidRPr="004D3B2B" w:rsidRDefault="007559F7" w:rsidP="007559F7">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Disclosure</w:t>
            </w:r>
          </w:p>
        </w:tc>
        <w:tc>
          <w:tcPr>
            <w:tcW w:w="3261" w:type="dxa"/>
          </w:tcPr>
          <w:p w14:paraId="12215FC0" w14:textId="77777777" w:rsidR="007559F7" w:rsidRPr="004D3B2B" w:rsidRDefault="007559F7" w:rsidP="007559F7">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Determination</w:t>
            </w:r>
          </w:p>
        </w:tc>
      </w:tr>
      <w:tr w:rsidR="007559F7" w:rsidRPr="00316669" w14:paraId="7D7C5429" w14:textId="77777777" w:rsidTr="008326A7">
        <w:trPr>
          <w:cnfStyle w:val="000000100000" w:firstRow="0" w:lastRow="0" w:firstColumn="0" w:lastColumn="0" w:oddVBand="0" w:evenVBand="0" w:oddHBand="1" w:evenHBand="0" w:firstRowFirstColumn="0" w:firstRowLastColumn="0" w:lastRowFirstColumn="0" w:lastRowLastColumn="0"/>
          <w:trHeight w:val="3508"/>
        </w:trPr>
        <w:tc>
          <w:tcPr>
            <w:tcW w:w="850" w:type="dxa"/>
          </w:tcPr>
          <w:p w14:paraId="61BDCB61" w14:textId="3BC05A39" w:rsidR="007559F7" w:rsidRPr="00532400" w:rsidRDefault="00532400" w:rsidP="00532400">
            <w:pPr>
              <w:spacing w:before="120" w:after="120"/>
              <w:rPr>
                <w:rFonts w:asciiTheme="minorHAnsi" w:hAnsiTheme="minorHAnsi" w:cstheme="minorHAnsi"/>
                <w:sz w:val="22"/>
                <w:szCs w:val="22"/>
              </w:rPr>
            </w:pPr>
            <w:r w:rsidRPr="00532400">
              <w:rPr>
                <w:rFonts w:asciiTheme="minorHAnsi" w:hAnsiTheme="minorHAnsi" w:cstheme="minorHAnsi"/>
                <w:sz w:val="22"/>
                <w:szCs w:val="22"/>
              </w:rPr>
              <w:t>2.1 &amp; 2.2</w:t>
            </w:r>
          </w:p>
        </w:tc>
        <w:tc>
          <w:tcPr>
            <w:tcW w:w="2264" w:type="dxa"/>
          </w:tcPr>
          <w:p w14:paraId="49302992" w14:textId="286BD139" w:rsidR="007559F7" w:rsidRPr="00532400" w:rsidRDefault="008F5DC9" w:rsidP="00532400">
            <w:pPr>
              <w:spacing w:before="120" w:after="120"/>
              <w:rPr>
                <w:rFonts w:asciiTheme="minorHAnsi" w:hAnsiTheme="minorHAnsi" w:cstheme="minorHAnsi"/>
                <w:sz w:val="22"/>
                <w:szCs w:val="22"/>
              </w:rPr>
            </w:pPr>
            <w:r w:rsidRPr="00532400">
              <w:rPr>
                <w:rFonts w:asciiTheme="minorHAnsi" w:hAnsiTheme="minorHAnsi" w:cstheme="minorHAnsi"/>
                <w:sz w:val="22"/>
                <w:szCs w:val="22"/>
              </w:rPr>
              <w:t>Associate Professor Phil Hayes</w:t>
            </w:r>
          </w:p>
        </w:tc>
        <w:tc>
          <w:tcPr>
            <w:tcW w:w="3118" w:type="dxa"/>
          </w:tcPr>
          <w:p w14:paraId="663B446E" w14:textId="77777777" w:rsidR="00532400" w:rsidRPr="00532400" w:rsidRDefault="00532400" w:rsidP="00532400">
            <w:pPr>
              <w:autoSpaceDE w:val="0"/>
              <w:autoSpaceDN w:val="0"/>
              <w:spacing w:before="120" w:after="120"/>
              <w:rPr>
                <w:rFonts w:asciiTheme="minorHAnsi" w:eastAsiaTheme="minorHAnsi" w:hAnsiTheme="minorHAnsi" w:cstheme="minorHAnsi"/>
                <w:sz w:val="22"/>
                <w:szCs w:val="22"/>
                <w:lang w:val="en-AU" w:eastAsia="en-US"/>
              </w:rPr>
            </w:pPr>
            <w:r w:rsidRPr="00532400">
              <w:rPr>
                <w:rFonts w:asciiTheme="minorHAnsi" w:hAnsiTheme="minorHAnsi" w:cstheme="minorHAnsi"/>
                <w:sz w:val="22"/>
                <w:szCs w:val="22"/>
              </w:rPr>
              <w:t xml:space="preserve">In relation to the Gas Supply Security Project (EPBC 2020/8856), I advise that </w:t>
            </w:r>
            <w:r w:rsidRPr="00532400">
              <w:rPr>
                <w:rFonts w:asciiTheme="minorHAnsi" w:hAnsiTheme="minorHAnsi" w:cstheme="minorHAnsi"/>
                <w:sz w:val="22"/>
                <w:szCs w:val="22"/>
                <w:shd w:val="clear" w:color="auto" w:fill="FFFFFF"/>
              </w:rPr>
              <w:t xml:space="preserve">I have a direct or indirect pecuniary interest, as follows: </w:t>
            </w:r>
            <w:r w:rsidRPr="00532400">
              <w:rPr>
                <w:rFonts w:asciiTheme="minorHAnsi" w:hAnsiTheme="minorHAnsi" w:cstheme="minorHAnsi"/>
                <w:sz w:val="22"/>
                <w:szCs w:val="22"/>
              </w:rPr>
              <w:t xml:space="preserve">My 0.7FTE position at UQ is 25% funded by APLNG, the project proponent </w:t>
            </w:r>
            <w:r w:rsidRPr="00532400">
              <w:rPr>
                <w:rFonts w:asciiTheme="minorHAnsi" w:hAnsiTheme="minorHAnsi" w:cstheme="minorHAnsi"/>
                <w:sz w:val="22"/>
                <w:szCs w:val="22"/>
                <w:shd w:val="clear" w:color="auto" w:fill="FFFFFF"/>
              </w:rPr>
              <w:t>or an entity of Origin Energy / APLNG.</w:t>
            </w:r>
          </w:p>
          <w:p w14:paraId="57B79E01" w14:textId="0ABD2CB8" w:rsidR="007559F7" w:rsidRPr="00532400" w:rsidRDefault="00532400" w:rsidP="00532400">
            <w:pPr>
              <w:spacing w:before="120" w:after="120"/>
              <w:rPr>
                <w:rFonts w:asciiTheme="minorHAnsi" w:hAnsiTheme="minorHAnsi" w:cstheme="minorHAnsi"/>
                <w:sz w:val="22"/>
                <w:szCs w:val="22"/>
              </w:rPr>
            </w:pPr>
            <w:r w:rsidRPr="00532400">
              <w:rPr>
                <w:rFonts w:asciiTheme="minorHAnsi" w:hAnsiTheme="minorHAnsi" w:cstheme="minorHAnsi"/>
                <w:sz w:val="22"/>
                <w:szCs w:val="22"/>
              </w:rPr>
              <w:t xml:space="preserve">In relation to the Towrie Gas Project (EPBC 2021/8979), I advise that I have a direct or indirect pecuniary interest, as follows: </w:t>
            </w:r>
            <w:r w:rsidRPr="00532400">
              <w:rPr>
                <w:rFonts w:asciiTheme="minorHAnsi" w:hAnsiTheme="minorHAnsi" w:cstheme="minorHAnsi"/>
                <w:sz w:val="22"/>
                <w:szCs w:val="22"/>
                <w:shd w:val="clear" w:color="auto" w:fill="FFFFFF"/>
              </w:rPr>
              <w:t xml:space="preserve">My 0.7FTE position at UQ is 25% funded by Santos GLNG, the project </w:t>
            </w:r>
            <w:proofErr w:type="gramStart"/>
            <w:r w:rsidRPr="00532400">
              <w:rPr>
                <w:rFonts w:asciiTheme="minorHAnsi" w:hAnsiTheme="minorHAnsi" w:cstheme="minorHAnsi"/>
                <w:sz w:val="22"/>
                <w:szCs w:val="22"/>
                <w:shd w:val="clear" w:color="auto" w:fill="FFFFFF"/>
              </w:rPr>
              <w:t>proponent</w:t>
            </w:r>
            <w:proofErr w:type="gramEnd"/>
            <w:r w:rsidRPr="00532400">
              <w:rPr>
                <w:rFonts w:asciiTheme="minorHAnsi" w:hAnsiTheme="minorHAnsi" w:cstheme="minorHAnsi"/>
                <w:sz w:val="22"/>
                <w:szCs w:val="22"/>
                <w:shd w:val="clear" w:color="auto" w:fill="FFFFFF"/>
              </w:rPr>
              <w:t xml:space="preserve"> </w:t>
            </w:r>
            <w:r w:rsidRPr="00532400">
              <w:rPr>
                <w:rFonts w:asciiTheme="minorHAnsi" w:hAnsiTheme="minorHAnsi" w:cstheme="minorHAnsi"/>
                <w:sz w:val="22"/>
                <w:szCs w:val="22"/>
              </w:rPr>
              <w:t>or an entity of Santos.</w:t>
            </w:r>
          </w:p>
        </w:tc>
        <w:tc>
          <w:tcPr>
            <w:tcW w:w="3261" w:type="dxa"/>
          </w:tcPr>
          <w:p w14:paraId="5AB85A1E" w14:textId="77777777" w:rsidR="00532400" w:rsidRPr="00532400" w:rsidRDefault="00532400" w:rsidP="00532400">
            <w:pPr>
              <w:spacing w:before="120" w:after="120"/>
              <w:rPr>
                <w:rFonts w:asciiTheme="minorHAnsi" w:eastAsiaTheme="minorHAnsi" w:hAnsiTheme="minorHAnsi" w:cstheme="minorHAnsi"/>
                <w:sz w:val="22"/>
                <w:szCs w:val="22"/>
                <w:lang w:val="en-AU" w:eastAsia="en-US"/>
              </w:rPr>
            </w:pPr>
            <w:r w:rsidRPr="00532400">
              <w:rPr>
                <w:rFonts w:asciiTheme="minorHAnsi" w:hAnsiTheme="minorHAnsi" w:cstheme="minorHAnsi"/>
                <w:sz w:val="22"/>
                <w:szCs w:val="22"/>
              </w:rPr>
              <w:t xml:space="preserve">That Associate Professor Phil Hayes </w:t>
            </w:r>
            <w:proofErr w:type="gramStart"/>
            <w:r w:rsidRPr="00532400">
              <w:rPr>
                <w:rFonts w:asciiTheme="minorHAnsi" w:hAnsiTheme="minorHAnsi" w:cstheme="minorHAnsi"/>
                <w:sz w:val="22"/>
                <w:szCs w:val="22"/>
              </w:rPr>
              <w:t>not be</w:t>
            </w:r>
            <w:proofErr w:type="gramEnd"/>
            <w:r w:rsidRPr="00532400">
              <w:rPr>
                <w:rFonts w:asciiTheme="minorHAnsi" w:hAnsiTheme="minorHAnsi" w:cstheme="minorHAnsi"/>
                <w:sz w:val="22"/>
                <w:szCs w:val="22"/>
              </w:rPr>
              <w:t xml:space="preserve"> present during agenda items 2.1 &amp; 2.2, so as to not be present during any deliberation of the Committee about the matters, and so as to not take part in any decision of the Committee about the matters.</w:t>
            </w:r>
          </w:p>
          <w:p w14:paraId="01AA4DEE" w14:textId="3193C665" w:rsidR="007559F7" w:rsidRPr="00532400" w:rsidRDefault="007559F7" w:rsidP="00532400">
            <w:pPr>
              <w:spacing w:before="120" w:after="120"/>
              <w:rPr>
                <w:rFonts w:asciiTheme="minorHAnsi" w:hAnsiTheme="minorHAnsi" w:cstheme="minorHAnsi"/>
                <w:sz w:val="22"/>
                <w:szCs w:val="22"/>
              </w:rPr>
            </w:pPr>
          </w:p>
        </w:tc>
      </w:tr>
    </w:tbl>
    <w:p w14:paraId="42503A54" w14:textId="77777777" w:rsidR="007559F7" w:rsidRPr="00316669" w:rsidRDefault="007559F7" w:rsidP="00360B98">
      <w:pPr>
        <w:spacing w:after="160" w:line="259" w:lineRule="auto"/>
        <w:rPr>
          <w:rFonts w:ascii="Calibri" w:hAnsi="Calibri" w:cs="Calibri"/>
          <w:b/>
          <w:color w:val="000000" w:themeColor="text1"/>
          <w:sz w:val="22"/>
          <w:szCs w:val="22"/>
        </w:rPr>
      </w:pPr>
    </w:p>
    <w:sectPr w:rsidR="007559F7" w:rsidRPr="00316669" w:rsidSect="000F70ED">
      <w:type w:val="continuous"/>
      <w:pgSz w:w="11906" w:h="16838"/>
      <w:pgMar w:top="66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DE07" w14:textId="77777777" w:rsidR="00932EF6" w:rsidRDefault="00932EF6">
      <w:pPr>
        <w:spacing w:after="0"/>
      </w:pPr>
      <w:r>
        <w:separator/>
      </w:r>
    </w:p>
  </w:endnote>
  <w:endnote w:type="continuationSeparator" w:id="0">
    <w:p w14:paraId="55846052" w14:textId="77777777" w:rsidR="00932EF6" w:rsidRDefault="00932EF6">
      <w:pPr>
        <w:spacing w:after="0"/>
      </w:pPr>
      <w:r>
        <w:continuationSeparator/>
      </w:r>
    </w:p>
  </w:endnote>
  <w:endnote w:type="continuationNotice" w:id="1">
    <w:p w14:paraId="2EDAA291" w14:textId="77777777" w:rsidR="00932EF6" w:rsidRDefault="00932E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5647" w14:textId="77777777" w:rsidR="00932EF6" w:rsidRDefault="00932EF6">
      <w:pPr>
        <w:spacing w:after="0"/>
      </w:pPr>
      <w:r>
        <w:separator/>
      </w:r>
    </w:p>
  </w:footnote>
  <w:footnote w:type="continuationSeparator" w:id="0">
    <w:p w14:paraId="2A387471" w14:textId="77777777" w:rsidR="00932EF6" w:rsidRDefault="00932EF6">
      <w:pPr>
        <w:spacing w:after="0"/>
      </w:pPr>
      <w:r>
        <w:continuationSeparator/>
      </w:r>
    </w:p>
  </w:footnote>
  <w:footnote w:type="continuationNotice" w:id="1">
    <w:p w14:paraId="3E1B35DB" w14:textId="77777777" w:rsidR="00932EF6" w:rsidRDefault="00932E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932EF6" w:rsidRDefault="00932EF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50092"/>
    <w:multiLevelType w:val="hybridMultilevel"/>
    <w:tmpl w:val="8D14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4"/>
  </w:num>
  <w:num w:numId="5">
    <w:abstractNumId w:val="13"/>
  </w:num>
  <w:num w:numId="6">
    <w:abstractNumId w:val="5"/>
  </w:num>
  <w:num w:numId="7">
    <w:abstractNumId w:val="9"/>
  </w:num>
  <w:num w:numId="8">
    <w:abstractNumId w:val="6"/>
  </w:num>
  <w:num w:numId="9">
    <w:abstractNumId w:val="7"/>
  </w:num>
  <w:num w:numId="10">
    <w:abstractNumId w:val="10"/>
  </w:num>
  <w:num w:numId="11">
    <w:abstractNumId w:val="1"/>
  </w:num>
  <w:num w:numId="12">
    <w:abstractNumId w:val="11"/>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2C8"/>
    <w:rsid w:val="000023F4"/>
    <w:rsid w:val="00004E45"/>
    <w:rsid w:val="00005018"/>
    <w:rsid w:val="00006CE6"/>
    <w:rsid w:val="00007BC4"/>
    <w:rsid w:val="000112E6"/>
    <w:rsid w:val="000130E5"/>
    <w:rsid w:val="00013383"/>
    <w:rsid w:val="0001376F"/>
    <w:rsid w:val="00013C02"/>
    <w:rsid w:val="00014991"/>
    <w:rsid w:val="00015994"/>
    <w:rsid w:val="000200FB"/>
    <w:rsid w:val="00020B8C"/>
    <w:rsid w:val="000214DD"/>
    <w:rsid w:val="000224BF"/>
    <w:rsid w:val="0002367F"/>
    <w:rsid w:val="00024081"/>
    <w:rsid w:val="00024449"/>
    <w:rsid w:val="00025088"/>
    <w:rsid w:val="00032B27"/>
    <w:rsid w:val="000342F9"/>
    <w:rsid w:val="00035401"/>
    <w:rsid w:val="00036902"/>
    <w:rsid w:val="00036A26"/>
    <w:rsid w:val="00037C01"/>
    <w:rsid w:val="000511DE"/>
    <w:rsid w:val="00051FA6"/>
    <w:rsid w:val="00054442"/>
    <w:rsid w:val="000546A5"/>
    <w:rsid w:val="00063330"/>
    <w:rsid w:val="00064368"/>
    <w:rsid w:val="00064A13"/>
    <w:rsid w:val="00064C6F"/>
    <w:rsid w:val="00066BB7"/>
    <w:rsid w:val="00074FA7"/>
    <w:rsid w:val="000773C3"/>
    <w:rsid w:val="00082618"/>
    <w:rsid w:val="00083A3F"/>
    <w:rsid w:val="00083E3F"/>
    <w:rsid w:val="0008451A"/>
    <w:rsid w:val="00085872"/>
    <w:rsid w:val="0008587F"/>
    <w:rsid w:val="00090490"/>
    <w:rsid w:val="0009106C"/>
    <w:rsid w:val="00093342"/>
    <w:rsid w:val="000937E4"/>
    <w:rsid w:val="00094864"/>
    <w:rsid w:val="0009640F"/>
    <w:rsid w:val="00097381"/>
    <w:rsid w:val="000A0D88"/>
    <w:rsid w:val="000A31C7"/>
    <w:rsid w:val="000A4F6D"/>
    <w:rsid w:val="000B09FF"/>
    <w:rsid w:val="000B46AA"/>
    <w:rsid w:val="000B71F8"/>
    <w:rsid w:val="000B73B0"/>
    <w:rsid w:val="000C27A9"/>
    <w:rsid w:val="000C3C56"/>
    <w:rsid w:val="000C6146"/>
    <w:rsid w:val="000C66EE"/>
    <w:rsid w:val="000C6BC2"/>
    <w:rsid w:val="000D3412"/>
    <w:rsid w:val="000D3FF0"/>
    <w:rsid w:val="000D470B"/>
    <w:rsid w:val="000D7E56"/>
    <w:rsid w:val="000E0C51"/>
    <w:rsid w:val="000E1DE8"/>
    <w:rsid w:val="000E26FC"/>
    <w:rsid w:val="000E5776"/>
    <w:rsid w:val="000E5D63"/>
    <w:rsid w:val="000E5FC6"/>
    <w:rsid w:val="000E7421"/>
    <w:rsid w:val="000F19DA"/>
    <w:rsid w:val="000F2DED"/>
    <w:rsid w:val="000F3E36"/>
    <w:rsid w:val="000F4FCC"/>
    <w:rsid w:val="000F6FEB"/>
    <w:rsid w:val="000F70ED"/>
    <w:rsid w:val="000F7132"/>
    <w:rsid w:val="00101A5A"/>
    <w:rsid w:val="0010347B"/>
    <w:rsid w:val="0010797C"/>
    <w:rsid w:val="00112565"/>
    <w:rsid w:val="0011565B"/>
    <w:rsid w:val="0011652E"/>
    <w:rsid w:val="00120D97"/>
    <w:rsid w:val="001238EE"/>
    <w:rsid w:val="001248FB"/>
    <w:rsid w:val="00125065"/>
    <w:rsid w:val="00130104"/>
    <w:rsid w:val="00134DBD"/>
    <w:rsid w:val="00135888"/>
    <w:rsid w:val="00135AF1"/>
    <w:rsid w:val="00140FBE"/>
    <w:rsid w:val="00141777"/>
    <w:rsid w:val="001421F9"/>
    <w:rsid w:val="00142663"/>
    <w:rsid w:val="0014482D"/>
    <w:rsid w:val="00144DC0"/>
    <w:rsid w:val="00150991"/>
    <w:rsid w:val="00151B40"/>
    <w:rsid w:val="00155DDD"/>
    <w:rsid w:val="00160DA6"/>
    <w:rsid w:val="00161EFE"/>
    <w:rsid w:val="00163950"/>
    <w:rsid w:val="00164BCF"/>
    <w:rsid w:val="00164DF3"/>
    <w:rsid w:val="00167B41"/>
    <w:rsid w:val="00167D5A"/>
    <w:rsid w:val="00171A70"/>
    <w:rsid w:val="00181567"/>
    <w:rsid w:val="001820B9"/>
    <w:rsid w:val="0018405A"/>
    <w:rsid w:val="00186F99"/>
    <w:rsid w:val="00191F8B"/>
    <w:rsid w:val="0019210E"/>
    <w:rsid w:val="001939D4"/>
    <w:rsid w:val="00194F77"/>
    <w:rsid w:val="001A40A2"/>
    <w:rsid w:val="001A575C"/>
    <w:rsid w:val="001B1B11"/>
    <w:rsid w:val="001B2EC2"/>
    <w:rsid w:val="001B5069"/>
    <w:rsid w:val="001B546E"/>
    <w:rsid w:val="001B6643"/>
    <w:rsid w:val="001C0285"/>
    <w:rsid w:val="001C2D19"/>
    <w:rsid w:val="001C6336"/>
    <w:rsid w:val="001D41CF"/>
    <w:rsid w:val="001D6B53"/>
    <w:rsid w:val="001E3E12"/>
    <w:rsid w:val="001E4145"/>
    <w:rsid w:val="001E5C1C"/>
    <w:rsid w:val="001E67E4"/>
    <w:rsid w:val="001E7B32"/>
    <w:rsid w:val="001F08FF"/>
    <w:rsid w:val="001F1400"/>
    <w:rsid w:val="001F2472"/>
    <w:rsid w:val="001F35E0"/>
    <w:rsid w:val="001F3DA8"/>
    <w:rsid w:val="001F4A16"/>
    <w:rsid w:val="001F55FF"/>
    <w:rsid w:val="001F7B2F"/>
    <w:rsid w:val="0020292B"/>
    <w:rsid w:val="00207134"/>
    <w:rsid w:val="00207F19"/>
    <w:rsid w:val="00210A11"/>
    <w:rsid w:val="002110E5"/>
    <w:rsid w:val="00211619"/>
    <w:rsid w:val="00211EC2"/>
    <w:rsid w:val="0021695C"/>
    <w:rsid w:val="00217287"/>
    <w:rsid w:val="00223351"/>
    <w:rsid w:val="002319B3"/>
    <w:rsid w:val="002369E8"/>
    <w:rsid w:val="0024082B"/>
    <w:rsid w:val="0024109E"/>
    <w:rsid w:val="002432FE"/>
    <w:rsid w:val="00246743"/>
    <w:rsid w:val="00250940"/>
    <w:rsid w:val="002613BF"/>
    <w:rsid w:val="00262B64"/>
    <w:rsid w:val="00265C85"/>
    <w:rsid w:val="0026740E"/>
    <w:rsid w:val="002721C6"/>
    <w:rsid w:val="0027234F"/>
    <w:rsid w:val="002724BA"/>
    <w:rsid w:val="00273E51"/>
    <w:rsid w:val="0027460C"/>
    <w:rsid w:val="00274DB3"/>
    <w:rsid w:val="00277607"/>
    <w:rsid w:val="0028066D"/>
    <w:rsid w:val="002871BB"/>
    <w:rsid w:val="002876C0"/>
    <w:rsid w:val="00287814"/>
    <w:rsid w:val="00291D77"/>
    <w:rsid w:val="0029246B"/>
    <w:rsid w:val="002B5656"/>
    <w:rsid w:val="002C0475"/>
    <w:rsid w:val="002C1E6C"/>
    <w:rsid w:val="002C2056"/>
    <w:rsid w:val="002C3D60"/>
    <w:rsid w:val="002C71F3"/>
    <w:rsid w:val="002D0D50"/>
    <w:rsid w:val="002D12D1"/>
    <w:rsid w:val="002D23D6"/>
    <w:rsid w:val="002D351A"/>
    <w:rsid w:val="002D37F1"/>
    <w:rsid w:val="002D437A"/>
    <w:rsid w:val="002D44FF"/>
    <w:rsid w:val="002E1D5C"/>
    <w:rsid w:val="002E4A97"/>
    <w:rsid w:val="002E5C20"/>
    <w:rsid w:val="002E6CC2"/>
    <w:rsid w:val="002F08D0"/>
    <w:rsid w:val="002F527D"/>
    <w:rsid w:val="002F77BA"/>
    <w:rsid w:val="002F7F5A"/>
    <w:rsid w:val="00300E55"/>
    <w:rsid w:val="00302620"/>
    <w:rsid w:val="0030284E"/>
    <w:rsid w:val="0030564F"/>
    <w:rsid w:val="00305CC9"/>
    <w:rsid w:val="00310D94"/>
    <w:rsid w:val="00310DAC"/>
    <w:rsid w:val="003128C1"/>
    <w:rsid w:val="0031475C"/>
    <w:rsid w:val="00316669"/>
    <w:rsid w:val="00317516"/>
    <w:rsid w:val="003261D3"/>
    <w:rsid w:val="003327D3"/>
    <w:rsid w:val="003423EB"/>
    <w:rsid w:val="00346ABA"/>
    <w:rsid w:val="0035288F"/>
    <w:rsid w:val="00354317"/>
    <w:rsid w:val="00356FC8"/>
    <w:rsid w:val="00360B98"/>
    <w:rsid w:val="003642F3"/>
    <w:rsid w:val="00364852"/>
    <w:rsid w:val="00371215"/>
    <w:rsid w:val="003727D7"/>
    <w:rsid w:val="003800A1"/>
    <w:rsid w:val="00385616"/>
    <w:rsid w:val="0038656D"/>
    <w:rsid w:val="00392C34"/>
    <w:rsid w:val="003959C6"/>
    <w:rsid w:val="0039608B"/>
    <w:rsid w:val="003A110B"/>
    <w:rsid w:val="003A1941"/>
    <w:rsid w:val="003A19C2"/>
    <w:rsid w:val="003A1A01"/>
    <w:rsid w:val="003A436A"/>
    <w:rsid w:val="003A5563"/>
    <w:rsid w:val="003A7066"/>
    <w:rsid w:val="003B1273"/>
    <w:rsid w:val="003B4163"/>
    <w:rsid w:val="003B4364"/>
    <w:rsid w:val="003B6C1B"/>
    <w:rsid w:val="003B7827"/>
    <w:rsid w:val="003C065B"/>
    <w:rsid w:val="003C25C9"/>
    <w:rsid w:val="003C2663"/>
    <w:rsid w:val="003C4A4B"/>
    <w:rsid w:val="003D043D"/>
    <w:rsid w:val="003D14E9"/>
    <w:rsid w:val="003D17AE"/>
    <w:rsid w:val="003D199C"/>
    <w:rsid w:val="003D1B66"/>
    <w:rsid w:val="003D5B81"/>
    <w:rsid w:val="003D6154"/>
    <w:rsid w:val="003D77C4"/>
    <w:rsid w:val="003E0E6C"/>
    <w:rsid w:val="003E36BC"/>
    <w:rsid w:val="003E544F"/>
    <w:rsid w:val="003E7592"/>
    <w:rsid w:val="003F286C"/>
    <w:rsid w:val="003F3828"/>
    <w:rsid w:val="003F5CAA"/>
    <w:rsid w:val="003F6295"/>
    <w:rsid w:val="003F67CA"/>
    <w:rsid w:val="00402A1C"/>
    <w:rsid w:val="00404211"/>
    <w:rsid w:val="0040487E"/>
    <w:rsid w:val="00406417"/>
    <w:rsid w:val="00413B73"/>
    <w:rsid w:val="004141A6"/>
    <w:rsid w:val="00421B2D"/>
    <w:rsid w:val="004225B7"/>
    <w:rsid w:val="00422974"/>
    <w:rsid w:val="00422C02"/>
    <w:rsid w:val="00425310"/>
    <w:rsid w:val="004262DE"/>
    <w:rsid w:val="00426E24"/>
    <w:rsid w:val="00427285"/>
    <w:rsid w:val="004278DD"/>
    <w:rsid w:val="00427E35"/>
    <w:rsid w:val="004327C0"/>
    <w:rsid w:val="004348FE"/>
    <w:rsid w:val="004359E8"/>
    <w:rsid w:val="004361A4"/>
    <w:rsid w:val="00436A16"/>
    <w:rsid w:val="0043746B"/>
    <w:rsid w:val="00440274"/>
    <w:rsid w:val="00441690"/>
    <w:rsid w:val="00443F45"/>
    <w:rsid w:val="00445C4B"/>
    <w:rsid w:val="00446483"/>
    <w:rsid w:val="00446A65"/>
    <w:rsid w:val="0045226F"/>
    <w:rsid w:val="00454889"/>
    <w:rsid w:val="004557E1"/>
    <w:rsid w:val="00460500"/>
    <w:rsid w:val="004616C3"/>
    <w:rsid w:val="00464950"/>
    <w:rsid w:val="0047031F"/>
    <w:rsid w:val="004728EC"/>
    <w:rsid w:val="00472C04"/>
    <w:rsid w:val="004731D1"/>
    <w:rsid w:val="00473308"/>
    <w:rsid w:val="00474783"/>
    <w:rsid w:val="00474A2B"/>
    <w:rsid w:val="004806D8"/>
    <w:rsid w:val="004835E1"/>
    <w:rsid w:val="004913E9"/>
    <w:rsid w:val="00492D41"/>
    <w:rsid w:val="004A00A4"/>
    <w:rsid w:val="004A0B2E"/>
    <w:rsid w:val="004A1ABC"/>
    <w:rsid w:val="004A1BED"/>
    <w:rsid w:val="004A3A92"/>
    <w:rsid w:val="004A6E3F"/>
    <w:rsid w:val="004A707E"/>
    <w:rsid w:val="004B0BD3"/>
    <w:rsid w:val="004B1AB2"/>
    <w:rsid w:val="004B2A0A"/>
    <w:rsid w:val="004B3473"/>
    <w:rsid w:val="004C028E"/>
    <w:rsid w:val="004C593D"/>
    <w:rsid w:val="004C5C73"/>
    <w:rsid w:val="004D31DA"/>
    <w:rsid w:val="004D3B2B"/>
    <w:rsid w:val="004D4A3E"/>
    <w:rsid w:val="004E1F5C"/>
    <w:rsid w:val="004E477A"/>
    <w:rsid w:val="004E507E"/>
    <w:rsid w:val="004E7196"/>
    <w:rsid w:val="004E7A1D"/>
    <w:rsid w:val="004F1F82"/>
    <w:rsid w:val="004F2A21"/>
    <w:rsid w:val="004F33C7"/>
    <w:rsid w:val="004F3B22"/>
    <w:rsid w:val="004F4ADA"/>
    <w:rsid w:val="0050053D"/>
    <w:rsid w:val="00501FED"/>
    <w:rsid w:val="00502350"/>
    <w:rsid w:val="005032FC"/>
    <w:rsid w:val="0050526C"/>
    <w:rsid w:val="005058D5"/>
    <w:rsid w:val="00512CB7"/>
    <w:rsid w:val="00513AD4"/>
    <w:rsid w:val="005143A1"/>
    <w:rsid w:val="005154F2"/>
    <w:rsid w:val="005157DA"/>
    <w:rsid w:val="00515AA0"/>
    <w:rsid w:val="00517865"/>
    <w:rsid w:val="00517EE4"/>
    <w:rsid w:val="00521693"/>
    <w:rsid w:val="00525543"/>
    <w:rsid w:val="00525C2B"/>
    <w:rsid w:val="0052629D"/>
    <w:rsid w:val="00526B8E"/>
    <w:rsid w:val="00530457"/>
    <w:rsid w:val="005309A4"/>
    <w:rsid w:val="00530FB4"/>
    <w:rsid w:val="00532400"/>
    <w:rsid w:val="00533FC1"/>
    <w:rsid w:val="00534124"/>
    <w:rsid w:val="005361A5"/>
    <w:rsid w:val="0054098F"/>
    <w:rsid w:val="005464AE"/>
    <w:rsid w:val="00546A25"/>
    <w:rsid w:val="005613E5"/>
    <w:rsid w:val="00565396"/>
    <w:rsid w:val="005668A8"/>
    <w:rsid w:val="005704BF"/>
    <w:rsid w:val="00570D91"/>
    <w:rsid w:val="00572EC2"/>
    <w:rsid w:val="0057496A"/>
    <w:rsid w:val="0057539D"/>
    <w:rsid w:val="00575DE7"/>
    <w:rsid w:val="00577174"/>
    <w:rsid w:val="00580F59"/>
    <w:rsid w:val="00582836"/>
    <w:rsid w:val="00583473"/>
    <w:rsid w:val="0058518C"/>
    <w:rsid w:val="005859B7"/>
    <w:rsid w:val="005925A3"/>
    <w:rsid w:val="0059529D"/>
    <w:rsid w:val="0059579A"/>
    <w:rsid w:val="005962F0"/>
    <w:rsid w:val="00597BC6"/>
    <w:rsid w:val="005A2D2B"/>
    <w:rsid w:val="005A5586"/>
    <w:rsid w:val="005A610C"/>
    <w:rsid w:val="005A69B4"/>
    <w:rsid w:val="005A6B61"/>
    <w:rsid w:val="005B1D03"/>
    <w:rsid w:val="005B1EF5"/>
    <w:rsid w:val="005B4847"/>
    <w:rsid w:val="005B5139"/>
    <w:rsid w:val="005B5F7A"/>
    <w:rsid w:val="005C0716"/>
    <w:rsid w:val="005C08AC"/>
    <w:rsid w:val="005C5587"/>
    <w:rsid w:val="005C5A4F"/>
    <w:rsid w:val="005C6563"/>
    <w:rsid w:val="005C7ECA"/>
    <w:rsid w:val="005D23A6"/>
    <w:rsid w:val="005D6F4E"/>
    <w:rsid w:val="005E02B2"/>
    <w:rsid w:val="005E0799"/>
    <w:rsid w:val="005E104A"/>
    <w:rsid w:val="005E1E6F"/>
    <w:rsid w:val="005E33BF"/>
    <w:rsid w:val="005E3AC9"/>
    <w:rsid w:val="005E48CE"/>
    <w:rsid w:val="005F1874"/>
    <w:rsid w:val="005F1BD0"/>
    <w:rsid w:val="005F2C80"/>
    <w:rsid w:val="005F399D"/>
    <w:rsid w:val="00600E16"/>
    <w:rsid w:val="00601127"/>
    <w:rsid w:val="0060171B"/>
    <w:rsid w:val="00601987"/>
    <w:rsid w:val="006079B4"/>
    <w:rsid w:val="00610ABC"/>
    <w:rsid w:val="00611EAD"/>
    <w:rsid w:val="006141E3"/>
    <w:rsid w:val="006150CE"/>
    <w:rsid w:val="0061523A"/>
    <w:rsid w:val="006157B2"/>
    <w:rsid w:val="006158C2"/>
    <w:rsid w:val="00615C6B"/>
    <w:rsid w:val="00616F06"/>
    <w:rsid w:val="00617844"/>
    <w:rsid w:val="00621F41"/>
    <w:rsid w:val="00630E52"/>
    <w:rsid w:val="00630F09"/>
    <w:rsid w:val="0063259D"/>
    <w:rsid w:val="00632DB9"/>
    <w:rsid w:val="00633768"/>
    <w:rsid w:val="00633D56"/>
    <w:rsid w:val="00634440"/>
    <w:rsid w:val="0064002D"/>
    <w:rsid w:val="006412D5"/>
    <w:rsid w:val="00641910"/>
    <w:rsid w:val="006427F9"/>
    <w:rsid w:val="00643014"/>
    <w:rsid w:val="0064757D"/>
    <w:rsid w:val="00651C2C"/>
    <w:rsid w:val="00653208"/>
    <w:rsid w:val="00655D8A"/>
    <w:rsid w:val="00657379"/>
    <w:rsid w:val="00657E68"/>
    <w:rsid w:val="00661736"/>
    <w:rsid w:val="0066186F"/>
    <w:rsid w:val="0066363C"/>
    <w:rsid w:val="006642F4"/>
    <w:rsid w:val="00664881"/>
    <w:rsid w:val="00666644"/>
    <w:rsid w:val="00671841"/>
    <w:rsid w:val="00680622"/>
    <w:rsid w:val="006866BC"/>
    <w:rsid w:val="00691BFD"/>
    <w:rsid w:val="00693553"/>
    <w:rsid w:val="00694AD3"/>
    <w:rsid w:val="00694C52"/>
    <w:rsid w:val="00695434"/>
    <w:rsid w:val="006956B4"/>
    <w:rsid w:val="006A358D"/>
    <w:rsid w:val="006A4496"/>
    <w:rsid w:val="006A7FEE"/>
    <w:rsid w:val="006C1C1F"/>
    <w:rsid w:val="006C46C9"/>
    <w:rsid w:val="006C5E50"/>
    <w:rsid w:val="006C77E1"/>
    <w:rsid w:val="006D4772"/>
    <w:rsid w:val="006D63AA"/>
    <w:rsid w:val="006E05A4"/>
    <w:rsid w:val="006E3C1A"/>
    <w:rsid w:val="006F13CE"/>
    <w:rsid w:val="006F4003"/>
    <w:rsid w:val="006F5871"/>
    <w:rsid w:val="006F76B0"/>
    <w:rsid w:val="007017D7"/>
    <w:rsid w:val="00706694"/>
    <w:rsid w:val="007067A8"/>
    <w:rsid w:val="00707C76"/>
    <w:rsid w:val="007115DC"/>
    <w:rsid w:val="00712E19"/>
    <w:rsid w:val="007138BD"/>
    <w:rsid w:val="00720AD3"/>
    <w:rsid w:val="00722C94"/>
    <w:rsid w:val="007276E1"/>
    <w:rsid w:val="007316A8"/>
    <w:rsid w:val="0073173A"/>
    <w:rsid w:val="00731A92"/>
    <w:rsid w:val="00732791"/>
    <w:rsid w:val="00732B60"/>
    <w:rsid w:val="00733F37"/>
    <w:rsid w:val="007343B7"/>
    <w:rsid w:val="007352FE"/>
    <w:rsid w:val="0073550F"/>
    <w:rsid w:val="0073592D"/>
    <w:rsid w:val="00741312"/>
    <w:rsid w:val="0074151F"/>
    <w:rsid w:val="00743C55"/>
    <w:rsid w:val="00745B5E"/>
    <w:rsid w:val="00746C56"/>
    <w:rsid w:val="00752024"/>
    <w:rsid w:val="00753A7A"/>
    <w:rsid w:val="007559F7"/>
    <w:rsid w:val="00760ABC"/>
    <w:rsid w:val="007637EB"/>
    <w:rsid w:val="00770266"/>
    <w:rsid w:val="0077146D"/>
    <w:rsid w:val="007719CF"/>
    <w:rsid w:val="0077312C"/>
    <w:rsid w:val="0077422E"/>
    <w:rsid w:val="00774AE9"/>
    <w:rsid w:val="00775037"/>
    <w:rsid w:val="00780B6F"/>
    <w:rsid w:val="0079173F"/>
    <w:rsid w:val="00797B2E"/>
    <w:rsid w:val="007B173F"/>
    <w:rsid w:val="007B245E"/>
    <w:rsid w:val="007B33D2"/>
    <w:rsid w:val="007C01AC"/>
    <w:rsid w:val="007C08F3"/>
    <w:rsid w:val="007C0C46"/>
    <w:rsid w:val="007C5682"/>
    <w:rsid w:val="007E324B"/>
    <w:rsid w:val="007F142E"/>
    <w:rsid w:val="007F4511"/>
    <w:rsid w:val="007F6CE0"/>
    <w:rsid w:val="00806D95"/>
    <w:rsid w:val="00812B17"/>
    <w:rsid w:val="00815810"/>
    <w:rsid w:val="00815938"/>
    <w:rsid w:val="008176BD"/>
    <w:rsid w:val="00820BD1"/>
    <w:rsid w:val="00822A13"/>
    <w:rsid w:val="00824759"/>
    <w:rsid w:val="008301B4"/>
    <w:rsid w:val="00832362"/>
    <w:rsid w:val="008326A7"/>
    <w:rsid w:val="00833670"/>
    <w:rsid w:val="008340DC"/>
    <w:rsid w:val="00834BF2"/>
    <w:rsid w:val="00837521"/>
    <w:rsid w:val="0084363C"/>
    <w:rsid w:val="0084476C"/>
    <w:rsid w:val="00846437"/>
    <w:rsid w:val="00847777"/>
    <w:rsid w:val="00851BAE"/>
    <w:rsid w:val="00854655"/>
    <w:rsid w:val="0085473D"/>
    <w:rsid w:val="008628B7"/>
    <w:rsid w:val="00862A6B"/>
    <w:rsid w:val="008644A1"/>
    <w:rsid w:val="00864A40"/>
    <w:rsid w:val="00866F27"/>
    <w:rsid w:val="00867579"/>
    <w:rsid w:val="00867FCB"/>
    <w:rsid w:val="008702A7"/>
    <w:rsid w:val="0087030E"/>
    <w:rsid w:val="0087258E"/>
    <w:rsid w:val="00882ACB"/>
    <w:rsid w:val="00887988"/>
    <w:rsid w:val="00890B9D"/>
    <w:rsid w:val="0089239B"/>
    <w:rsid w:val="00892FE6"/>
    <w:rsid w:val="00894E6B"/>
    <w:rsid w:val="008A15E3"/>
    <w:rsid w:val="008A38F0"/>
    <w:rsid w:val="008A45DB"/>
    <w:rsid w:val="008A57FC"/>
    <w:rsid w:val="008B4FB4"/>
    <w:rsid w:val="008B5037"/>
    <w:rsid w:val="008B785A"/>
    <w:rsid w:val="008C054E"/>
    <w:rsid w:val="008C15B0"/>
    <w:rsid w:val="008C564E"/>
    <w:rsid w:val="008D0DD1"/>
    <w:rsid w:val="008D10DA"/>
    <w:rsid w:val="008D1E2F"/>
    <w:rsid w:val="008D37F1"/>
    <w:rsid w:val="008D66A2"/>
    <w:rsid w:val="008D7FF8"/>
    <w:rsid w:val="008E38B8"/>
    <w:rsid w:val="008E41ED"/>
    <w:rsid w:val="008E4A4A"/>
    <w:rsid w:val="008E55FE"/>
    <w:rsid w:val="008F1795"/>
    <w:rsid w:val="008F5DC9"/>
    <w:rsid w:val="00901A49"/>
    <w:rsid w:val="00903019"/>
    <w:rsid w:val="00904BB7"/>
    <w:rsid w:val="00910AB8"/>
    <w:rsid w:val="009131B1"/>
    <w:rsid w:val="00914E19"/>
    <w:rsid w:val="009159AB"/>
    <w:rsid w:val="00915E75"/>
    <w:rsid w:val="009216D1"/>
    <w:rsid w:val="009252B1"/>
    <w:rsid w:val="00926783"/>
    <w:rsid w:val="0092785C"/>
    <w:rsid w:val="00930AE1"/>
    <w:rsid w:val="00932EF6"/>
    <w:rsid w:val="00935DAA"/>
    <w:rsid w:val="009406B8"/>
    <w:rsid w:val="00940A3E"/>
    <w:rsid w:val="00941B5C"/>
    <w:rsid w:val="009425DE"/>
    <w:rsid w:val="009448C8"/>
    <w:rsid w:val="009463FE"/>
    <w:rsid w:val="009471F1"/>
    <w:rsid w:val="0095117B"/>
    <w:rsid w:val="0095713B"/>
    <w:rsid w:val="00961386"/>
    <w:rsid w:val="00966699"/>
    <w:rsid w:val="00967810"/>
    <w:rsid w:val="009707D5"/>
    <w:rsid w:val="00973CE1"/>
    <w:rsid w:val="009769C5"/>
    <w:rsid w:val="0097791C"/>
    <w:rsid w:val="009811EF"/>
    <w:rsid w:val="0098198A"/>
    <w:rsid w:val="00981F24"/>
    <w:rsid w:val="00984221"/>
    <w:rsid w:val="00990E64"/>
    <w:rsid w:val="00994211"/>
    <w:rsid w:val="009A1468"/>
    <w:rsid w:val="009A198F"/>
    <w:rsid w:val="009A245C"/>
    <w:rsid w:val="009A2549"/>
    <w:rsid w:val="009B0AF2"/>
    <w:rsid w:val="009B1B97"/>
    <w:rsid w:val="009B2655"/>
    <w:rsid w:val="009B4038"/>
    <w:rsid w:val="009B4FF4"/>
    <w:rsid w:val="009B575F"/>
    <w:rsid w:val="009D0A11"/>
    <w:rsid w:val="009D1044"/>
    <w:rsid w:val="009D1BC6"/>
    <w:rsid w:val="009D2393"/>
    <w:rsid w:val="009D7A59"/>
    <w:rsid w:val="009E21F2"/>
    <w:rsid w:val="009E3263"/>
    <w:rsid w:val="009E50FD"/>
    <w:rsid w:val="009F155D"/>
    <w:rsid w:val="009F2FAE"/>
    <w:rsid w:val="009F786C"/>
    <w:rsid w:val="00A07CF0"/>
    <w:rsid w:val="00A11D36"/>
    <w:rsid w:val="00A12013"/>
    <w:rsid w:val="00A12585"/>
    <w:rsid w:val="00A131CD"/>
    <w:rsid w:val="00A13EC3"/>
    <w:rsid w:val="00A143E6"/>
    <w:rsid w:val="00A17973"/>
    <w:rsid w:val="00A25FC5"/>
    <w:rsid w:val="00A33A97"/>
    <w:rsid w:val="00A35B6A"/>
    <w:rsid w:val="00A4045C"/>
    <w:rsid w:val="00A431C1"/>
    <w:rsid w:val="00A43247"/>
    <w:rsid w:val="00A44315"/>
    <w:rsid w:val="00A4536A"/>
    <w:rsid w:val="00A46A87"/>
    <w:rsid w:val="00A5030C"/>
    <w:rsid w:val="00A55A77"/>
    <w:rsid w:val="00A63102"/>
    <w:rsid w:val="00A63DF4"/>
    <w:rsid w:val="00A65B73"/>
    <w:rsid w:val="00A729CA"/>
    <w:rsid w:val="00A73258"/>
    <w:rsid w:val="00A75E2F"/>
    <w:rsid w:val="00A8177B"/>
    <w:rsid w:val="00A85F6A"/>
    <w:rsid w:val="00A87483"/>
    <w:rsid w:val="00A874CB"/>
    <w:rsid w:val="00A908E9"/>
    <w:rsid w:val="00A93AA0"/>
    <w:rsid w:val="00A94C59"/>
    <w:rsid w:val="00A9600C"/>
    <w:rsid w:val="00AA0604"/>
    <w:rsid w:val="00AA13CA"/>
    <w:rsid w:val="00AA3A0C"/>
    <w:rsid w:val="00AA3C3C"/>
    <w:rsid w:val="00AA4C30"/>
    <w:rsid w:val="00AA5552"/>
    <w:rsid w:val="00AA7983"/>
    <w:rsid w:val="00AB1377"/>
    <w:rsid w:val="00AC0308"/>
    <w:rsid w:val="00AC5F9F"/>
    <w:rsid w:val="00AC7E96"/>
    <w:rsid w:val="00AD21CE"/>
    <w:rsid w:val="00AD3FA2"/>
    <w:rsid w:val="00AD7E41"/>
    <w:rsid w:val="00AE2B88"/>
    <w:rsid w:val="00AE753D"/>
    <w:rsid w:val="00AF03F7"/>
    <w:rsid w:val="00AF305B"/>
    <w:rsid w:val="00AF357F"/>
    <w:rsid w:val="00AF5557"/>
    <w:rsid w:val="00AF71AF"/>
    <w:rsid w:val="00B00238"/>
    <w:rsid w:val="00B0652D"/>
    <w:rsid w:val="00B0702C"/>
    <w:rsid w:val="00B110AC"/>
    <w:rsid w:val="00B11AFF"/>
    <w:rsid w:val="00B12B53"/>
    <w:rsid w:val="00B12B6A"/>
    <w:rsid w:val="00B15D35"/>
    <w:rsid w:val="00B16BB3"/>
    <w:rsid w:val="00B20358"/>
    <w:rsid w:val="00B224C9"/>
    <w:rsid w:val="00B229A1"/>
    <w:rsid w:val="00B23006"/>
    <w:rsid w:val="00B23BF0"/>
    <w:rsid w:val="00B23D79"/>
    <w:rsid w:val="00B276CA"/>
    <w:rsid w:val="00B32549"/>
    <w:rsid w:val="00B3419B"/>
    <w:rsid w:val="00B366ED"/>
    <w:rsid w:val="00B40BF4"/>
    <w:rsid w:val="00B47433"/>
    <w:rsid w:val="00B53B8F"/>
    <w:rsid w:val="00B5452B"/>
    <w:rsid w:val="00B647EE"/>
    <w:rsid w:val="00B709D6"/>
    <w:rsid w:val="00B714FB"/>
    <w:rsid w:val="00B80CA8"/>
    <w:rsid w:val="00B8418B"/>
    <w:rsid w:val="00B8612E"/>
    <w:rsid w:val="00B878A8"/>
    <w:rsid w:val="00B87C99"/>
    <w:rsid w:val="00B90AD4"/>
    <w:rsid w:val="00B92877"/>
    <w:rsid w:val="00B92AA6"/>
    <w:rsid w:val="00B92EF9"/>
    <w:rsid w:val="00B92F0B"/>
    <w:rsid w:val="00B93991"/>
    <w:rsid w:val="00B95500"/>
    <w:rsid w:val="00B97E5C"/>
    <w:rsid w:val="00BA2E4E"/>
    <w:rsid w:val="00BA5E2B"/>
    <w:rsid w:val="00BB3E36"/>
    <w:rsid w:val="00BB61F6"/>
    <w:rsid w:val="00BB7236"/>
    <w:rsid w:val="00BB7DAA"/>
    <w:rsid w:val="00BC585E"/>
    <w:rsid w:val="00BC68EB"/>
    <w:rsid w:val="00BC78C2"/>
    <w:rsid w:val="00BD10FE"/>
    <w:rsid w:val="00BD2054"/>
    <w:rsid w:val="00BD2A42"/>
    <w:rsid w:val="00BD7E20"/>
    <w:rsid w:val="00BE2FE6"/>
    <w:rsid w:val="00BE3EBC"/>
    <w:rsid w:val="00BE7391"/>
    <w:rsid w:val="00BF4B53"/>
    <w:rsid w:val="00BF4BD5"/>
    <w:rsid w:val="00BF6826"/>
    <w:rsid w:val="00BF7EB6"/>
    <w:rsid w:val="00C02D21"/>
    <w:rsid w:val="00C067D0"/>
    <w:rsid w:val="00C07585"/>
    <w:rsid w:val="00C10860"/>
    <w:rsid w:val="00C1408C"/>
    <w:rsid w:val="00C147EB"/>
    <w:rsid w:val="00C1482B"/>
    <w:rsid w:val="00C1756B"/>
    <w:rsid w:val="00C236CE"/>
    <w:rsid w:val="00C3021D"/>
    <w:rsid w:val="00C31143"/>
    <w:rsid w:val="00C3268D"/>
    <w:rsid w:val="00C34850"/>
    <w:rsid w:val="00C371B0"/>
    <w:rsid w:val="00C4661B"/>
    <w:rsid w:val="00C50AB4"/>
    <w:rsid w:val="00C5442A"/>
    <w:rsid w:val="00C5484F"/>
    <w:rsid w:val="00C55102"/>
    <w:rsid w:val="00C5694C"/>
    <w:rsid w:val="00C62115"/>
    <w:rsid w:val="00C64190"/>
    <w:rsid w:val="00C67EAE"/>
    <w:rsid w:val="00C7218A"/>
    <w:rsid w:val="00C80AC0"/>
    <w:rsid w:val="00C81E70"/>
    <w:rsid w:val="00C829A4"/>
    <w:rsid w:val="00C837A6"/>
    <w:rsid w:val="00C83DE7"/>
    <w:rsid w:val="00C8650D"/>
    <w:rsid w:val="00C86620"/>
    <w:rsid w:val="00C86626"/>
    <w:rsid w:val="00C90199"/>
    <w:rsid w:val="00C9615F"/>
    <w:rsid w:val="00CA1D16"/>
    <w:rsid w:val="00CA408B"/>
    <w:rsid w:val="00CA55D5"/>
    <w:rsid w:val="00CA5D58"/>
    <w:rsid w:val="00CB70C7"/>
    <w:rsid w:val="00CC08A1"/>
    <w:rsid w:val="00CC2B80"/>
    <w:rsid w:val="00CC78A5"/>
    <w:rsid w:val="00CE1885"/>
    <w:rsid w:val="00CE34E4"/>
    <w:rsid w:val="00CE6C10"/>
    <w:rsid w:val="00CF42C9"/>
    <w:rsid w:val="00CF561F"/>
    <w:rsid w:val="00CF7FEC"/>
    <w:rsid w:val="00D0229D"/>
    <w:rsid w:val="00D03508"/>
    <w:rsid w:val="00D04950"/>
    <w:rsid w:val="00D05352"/>
    <w:rsid w:val="00D11BC1"/>
    <w:rsid w:val="00D14268"/>
    <w:rsid w:val="00D14656"/>
    <w:rsid w:val="00D14EA4"/>
    <w:rsid w:val="00D2119A"/>
    <w:rsid w:val="00D21A16"/>
    <w:rsid w:val="00D21D76"/>
    <w:rsid w:val="00D23B59"/>
    <w:rsid w:val="00D24A70"/>
    <w:rsid w:val="00D26AAC"/>
    <w:rsid w:val="00D3018F"/>
    <w:rsid w:val="00D31300"/>
    <w:rsid w:val="00D31679"/>
    <w:rsid w:val="00D32144"/>
    <w:rsid w:val="00D34BAB"/>
    <w:rsid w:val="00D37840"/>
    <w:rsid w:val="00D41DDF"/>
    <w:rsid w:val="00D42E35"/>
    <w:rsid w:val="00D443C2"/>
    <w:rsid w:val="00D44A44"/>
    <w:rsid w:val="00D45207"/>
    <w:rsid w:val="00D46D7F"/>
    <w:rsid w:val="00D47DD7"/>
    <w:rsid w:val="00D50AC0"/>
    <w:rsid w:val="00D57D91"/>
    <w:rsid w:val="00D63063"/>
    <w:rsid w:val="00D67155"/>
    <w:rsid w:val="00D67E68"/>
    <w:rsid w:val="00D733BD"/>
    <w:rsid w:val="00D73792"/>
    <w:rsid w:val="00D76A89"/>
    <w:rsid w:val="00D8346D"/>
    <w:rsid w:val="00D84349"/>
    <w:rsid w:val="00D84F94"/>
    <w:rsid w:val="00D93FAF"/>
    <w:rsid w:val="00DA5DFB"/>
    <w:rsid w:val="00DA7F74"/>
    <w:rsid w:val="00DB00C6"/>
    <w:rsid w:val="00DB5BCF"/>
    <w:rsid w:val="00DC77E2"/>
    <w:rsid w:val="00DC7C45"/>
    <w:rsid w:val="00DD07F2"/>
    <w:rsid w:val="00DD1897"/>
    <w:rsid w:val="00DD2324"/>
    <w:rsid w:val="00DD2F0B"/>
    <w:rsid w:val="00DD4096"/>
    <w:rsid w:val="00DD79FD"/>
    <w:rsid w:val="00DD7EAD"/>
    <w:rsid w:val="00DE4A9A"/>
    <w:rsid w:val="00DF293C"/>
    <w:rsid w:val="00DF458F"/>
    <w:rsid w:val="00E03E1B"/>
    <w:rsid w:val="00E074FA"/>
    <w:rsid w:val="00E0761E"/>
    <w:rsid w:val="00E118D1"/>
    <w:rsid w:val="00E1260C"/>
    <w:rsid w:val="00E1300D"/>
    <w:rsid w:val="00E165BE"/>
    <w:rsid w:val="00E16F6C"/>
    <w:rsid w:val="00E17348"/>
    <w:rsid w:val="00E22EB7"/>
    <w:rsid w:val="00E22F49"/>
    <w:rsid w:val="00E236BF"/>
    <w:rsid w:val="00E26846"/>
    <w:rsid w:val="00E31A9B"/>
    <w:rsid w:val="00E34B46"/>
    <w:rsid w:val="00E3588C"/>
    <w:rsid w:val="00E35D22"/>
    <w:rsid w:val="00E37626"/>
    <w:rsid w:val="00E412FE"/>
    <w:rsid w:val="00E421F6"/>
    <w:rsid w:val="00E42592"/>
    <w:rsid w:val="00E43DEE"/>
    <w:rsid w:val="00E44F49"/>
    <w:rsid w:val="00E450D9"/>
    <w:rsid w:val="00E45DF5"/>
    <w:rsid w:val="00E507C3"/>
    <w:rsid w:val="00E52D76"/>
    <w:rsid w:val="00E54262"/>
    <w:rsid w:val="00E56418"/>
    <w:rsid w:val="00E62333"/>
    <w:rsid w:val="00E62D13"/>
    <w:rsid w:val="00E645D0"/>
    <w:rsid w:val="00E7185F"/>
    <w:rsid w:val="00E71CE4"/>
    <w:rsid w:val="00E77FC5"/>
    <w:rsid w:val="00E8307E"/>
    <w:rsid w:val="00E830A6"/>
    <w:rsid w:val="00E908BE"/>
    <w:rsid w:val="00E917E6"/>
    <w:rsid w:val="00E935BE"/>
    <w:rsid w:val="00E93D9D"/>
    <w:rsid w:val="00EA6A16"/>
    <w:rsid w:val="00EA7C8A"/>
    <w:rsid w:val="00EB5FD9"/>
    <w:rsid w:val="00EB60F2"/>
    <w:rsid w:val="00EB7288"/>
    <w:rsid w:val="00EC24E1"/>
    <w:rsid w:val="00EC3DCF"/>
    <w:rsid w:val="00EC4238"/>
    <w:rsid w:val="00EC5DFE"/>
    <w:rsid w:val="00EC6DAC"/>
    <w:rsid w:val="00ED2747"/>
    <w:rsid w:val="00ED3B15"/>
    <w:rsid w:val="00ED61C7"/>
    <w:rsid w:val="00EE1B7C"/>
    <w:rsid w:val="00EE1C8B"/>
    <w:rsid w:val="00EE2AA9"/>
    <w:rsid w:val="00EE37D8"/>
    <w:rsid w:val="00EE4B85"/>
    <w:rsid w:val="00EE6C98"/>
    <w:rsid w:val="00EF2234"/>
    <w:rsid w:val="00EF332B"/>
    <w:rsid w:val="00EF34EB"/>
    <w:rsid w:val="00EF63F6"/>
    <w:rsid w:val="00F02C02"/>
    <w:rsid w:val="00F03732"/>
    <w:rsid w:val="00F04D50"/>
    <w:rsid w:val="00F04F65"/>
    <w:rsid w:val="00F05A9A"/>
    <w:rsid w:val="00F0788B"/>
    <w:rsid w:val="00F07D49"/>
    <w:rsid w:val="00F11013"/>
    <w:rsid w:val="00F113AD"/>
    <w:rsid w:val="00F14197"/>
    <w:rsid w:val="00F15F8B"/>
    <w:rsid w:val="00F22480"/>
    <w:rsid w:val="00F24E74"/>
    <w:rsid w:val="00F264A4"/>
    <w:rsid w:val="00F26677"/>
    <w:rsid w:val="00F27B0F"/>
    <w:rsid w:val="00F363AB"/>
    <w:rsid w:val="00F37885"/>
    <w:rsid w:val="00F44132"/>
    <w:rsid w:val="00F50DB7"/>
    <w:rsid w:val="00F529FA"/>
    <w:rsid w:val="00F56017"/>
    <w:rsid w:val="00F60604"/>
    <w:rsid w:val="00F63D00"/>
    <w:rsid w:val="00F67B5D"/>
    <w:rsid w:val="00F71A9A"/>
    <w:rsid w:val="00F75859"/>
    <w:rsid w:val="00F834F4"/>
    <w:rsid w:val="00F85154"/>
    <w:rsid w:val="00F8639A"/>
    <w:rsid w:val="00F90295"/>
    <w:rsid w:val="00F91627"/>
    <w:rsid w:val="00F91E38"/>
    <w:rsid w:val="00F9532D"/>
    <w:rsid w:val="00F95843"/>
    <w:rsid w:val="00FA18D6"/>
    <w:rsid w:val="00FA4912"/>
    <w:rsid w:val="00FA7B89"/>
    <w:rsid w:val="00FB3626"/>
    <w:rsid w:val="00FC2043"/>
    <w:rsid w:val="00FC44FB"/>
    <w:rsid w:val="00FC5DA6"/>
    <w:rsid w:val="00FD0C98"/>
    <w:rsid w:val="00FD2A97"/>
    <w:rsid w:val="00FD5788"/>
    <w:rsid w:val="00FD6657"/>
    <w:rsid w:val="00FD7279"/>
    <w:rsid w:val="00FD7F31"/>
    <w:rsid w:val="00FE0E6A"/>
    <w:rsid w:val="00FE2A01"/>
    <w:rsid w:val="00FE2A2A"/>
    <w:rsid w:val="00FE3728"/>
    <w:rsid w:val="00FE5E5E"/>
    <w:rsid w:val="00FE6F3E"/>
    <w:rsid w:val="00FF0D99"/>
    <w:rsid w:val="00FF1CE9"/>
    <w:rsid w:val="08900992"/>
    <w:rsid w:val="0DCB8962"/>
    <w:rsid w:val="1555643D"/>
    <w:rsid w:val="674968F3"/>
    <w:rsid w:val="67DBFF2E"/>
    <w:rsid w:val="7194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F422-6783-4522-B8EB-F4803FB55B16}">
  <ds:schemaRefs>
    <ds:schemaRef ds:uri="http://schemas.microsoft.com/office/2006/metadata/customXsn"/>
  </ds:schemaRefs>
</ds:datastoreItem>
</file>

<file path=customXml/itemProps2.xml><?xml version="1.0" encoding="utf-8"?>
<ds:datastoreItem xmlns:ds="http://schemas.openxmlformats.org/officeDocument/2006/customXml" ds:itemID="{37C870A3-3C33-48D0-A8FC-4B0DD1BAF662}">
  <ds:schemaRefs>
    <ds:schemaRef ds:uri="http://schemas.microsoft.com/sharepoint/events"/>
  </ds:schemaRefs>
</ds:datastoreItem>
</file>

<file path=customXml/itemProps3.xml><?xml version="1.0" encoding="utf-8"?>
<ds:datastoreItem xmlns:ds="http://schemas.openxmlformats.org/officeDocument/2006/customXml" ds:itemID="{463C7773-6593-471D-8B87-83CEB6262BAE}"/>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5.xml><?xml version="1.0" encoding="utf-8"?>
<ds:datastoreItem xmlns:ds="http://schemas.openxmlformats.org/officeDocument/2006/customXml" ds:itemID="{F4A2F8D7-546C-4F39-8A0E-17C71E75187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a3e7952-617a-4d1d-acc5-2dff72d3e0ca"/>
    <ds:schemaRef ds:uri="http://schemas.microsoft.com/sharepoint/v4"/>
    <ds:schemaRef ds:uri="http://purl.org/dc/term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2007</Words>
  <Characters>11444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00 - Meeting Minutes</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 Meeting Minutes</dc:title>
  <dc:subject/>
  <dc:creator>IESC</dc:creator>
  <cp:keywords/>
  <dc:description/>
  <cp:lastModifiedBy>Bec Durack</cp:lastModifiedBy>
  <cp:revision>2</cp:revision>
  <dcterms:created xsi:type="dcterms:W3CDTF">2022-02-21T01:18:00Z</dcterms:created>
  <dcterms:modified xsi:type="dcterms:W3CDTF">2022-02-21T01:18:00Z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{98ee504a-4187-40d4-aa5e-a665b155666c}</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